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EA55C1" w14:textId="6B517F32" w:rsidR="00454C9C" w:rsidRPr="00C86C41" w:rsidRDefault="009A3EBA" w:rsidP="00EF6B49">
      <w:pPr>
        <w:tabs>
          <w:tab w:val="left" w:pos="6120"/>
        </w:tabs>
        <w:jc w:val="center"/>
        <w:rPr>
          <w:b/>
          <w:bCs/>
          <w:iCs/>
          <w:sz w:val="28"/>
          <w:szCs w:val="28"/>
          <w:u w:val="single"/>
        </w:rPr>
      </w:pPr>
      <w:r w:rsidRPr="00C86C41">
        <w:rPr>
          <w:b/>
          <w:bCs/>
          <w:iCs/>
          <w:sz w:val="28"/>
          <w:szCs w:val="28"/>
          <w:u w:val="single"/>
        </w:rPr>
        <w:t>Pre-</w:t>
      </w:r>
      <w:r w:rsidR="00AD46E0" w:rsidRPr="00C86C41">
        <w:rPr>
          <w:b/>
          <w:bCs/>
          <w:iCs/>
          <w:sz w:val="28"/>
          <w:szCs w:val="28"/>
          <w:u w:val="single"/>
        </w:rPr>
        <w:t>Proposal Conference</w:t>
      </w:r>
      <w:r w:rsidR="00AB1EEF" w:rsidRPr="00C86C41">
        <w:rPr>
          <w:b/>
          <w:bCs/>
          <w:iCs/>
          <w:sz w:val="28"/>
          <w:szCs w:val="28"/>
          <w:u w:val="single"/>
        </w:rPr>
        <w:t xml:space="preserve"> Agenda</w:t>
      </w:r>
    </w:p>
    <w:p w14:paraId="1AF68B39" w14:textId="77777777" w:rsidR="00C86C41" w:rsidRDefault="00C86C41" w:rsidP="00EF6B49">
      <w:pPr>
        <w:tabs>
          <w:tab w:val="left" w:pos="6120"/>
        </w:tabs>
        <w:jc w:val="center"/>
        <w:rPr>
          <w:b/>
          <w:bCs/>
          <w:iCs/>
          <w:sz w:val="24"/>
          <w:szCs w:val="24"/>
          <w:u w:val="single"/>
        </w:rPr>
      </w:pPr>
    </w:p>
    <w:p w14:paraId="040F4436" w14:textId="21E09146" w:rsidR="004F6DB5" w:rsidRPr="00C86C41" w:rsidRDefault="00C86C41" w:rsidP="00C86C41">
      <w:pPr>
        <w:pStyle w:val="Title"/>
        <w:spacing w:after="240"/>
        <w:rPr>
          <w:rFonts w:ascii="Arial" w:hAnsi="Arial" w:cs="Arial"/>
          <w:sz w:val="24"/>
          <w:szCs w:val="24"/>
        </w:rPr>
      </w:pPr>
      <w:r w:rsidRPr="00C86C41">
        <w:rPr>
          <w:rFonts w:ascii="Arial" w:hAnsi="Arial" w:cs="Arial"/>
          <w:sz w:val="24"/>
          <w:szCs w:val="24"/>
        </w:rPr>
        <w:t xml:space="preserve">GD </w:t>
      </w:r>
      <w:r w:rsidR="00F335B1">
        <w:rPr>
          <w:rFonts w:ascii="Arial" w:hAnsi="Arial" w:cs="Arial"/>
          <w:sz w:val="24"/>
          <w:szCs w:val="24"/>
        </w:rPr>
        <w:t>26-27</w:t>
      </w:r>
      <w:r w:rsidRPr="00C86C41">
        <w:rPr>
          <w:rFonts w:ascii="Arial" w:hAnsi="Arial" w:cs="Arial"/>
          <w:sz w:val="24"/>
          <w:szCs w:val="24"/>
        </w:rPr>
        <w:t xml:space="preserve"> </w:t>
      </w:r>
      <w:r w:rsidR="00F335B1">
        <w:rPr>
          <w:rFonts w:ascii="Arial" w:hAnsi="Arial" w:cs="Arial"/>
          <w:sz w:val="24"/>
          <w:szCs w:val="24"/>
        </w:rPr>
        <w:t xml:space="preserve">600 Longworth </w:t>
      </w:r>
      <w:r w:rsidRPr="00C86C41">
        <w:rPr>
          <w:rFonts w:ascii="Arial" w:hAnsi="Arial" w:cs="Arial"/>
          <w:sz w:val="24"/>
          <w:szCs w:val="24"/>
        </w:rPr>
        <w:t>Garage Door Replacement</w:t>
      </w:r>
    </w:p>
    <w:p w14:paraId="36E87DE4" w14:textId="06127DDA" w:rsidR="009A3EBA" w:rsidRDefault="00F335B1" w:rsidP="00EF6B49">
      <w:pPr>
        <w:tabs>
          <w:tab w:val="left" w:pos="6120"/>
        </w:tabs>
        <w:jc w:val="center"/>
        <w:rPr>
          <w:b/>
          <w:bCs/>
          <w:sz w:val="20"/>
        </w:rPr>
      </w:pPr>
      <w:r>
        <w:rPr>
          <w:b/>
          <w:bCs/>
          <w:sz w:val="20"/>
        </w:rPr>
        <w:t xml:space="preserve">Thursday, May 14, </w:t>
      </w:r>
      <w:proofErr w:type="gramStart"/>
      <w:r>
        <w:rPr>
          <w:b/>
          <w:bCs/>
          <w:sz w:val="20"/>
        </w:rPr>
        <w:t>2026</w:t>
      </w:r>
      <w:proofErr w:type="gramEnd"/>
      <w:r>
        <w:rPr>
          <w:b/>
          <w:bCs/>
          <w:sz w:val="20"/>
        </w:rPr>
        <w:t xml:space="preserve"> 10:00 am</w:t>
      </w:r>
    </w:p>
    <w:p w14:paraId="7FBF8D10" w14:textId="4C086AFD" w:rsidR="00AD46E0" w:rsidRPr="00832316" w:rsidRDefault="00AD46E0" w:rsidP="00EF6B49">
      <w:pPr>
        <w:tabs>
          <w:tab w:val="left" w:pos="6120"/>
        </w:tabs>
        <w:jc w:val="center"/>
        <w:rPr>
          <w:b/>
          <w:bCs/>
          <w:sz w:val="20"/>
        </w:rPr>
      </w:pPr>
      <w:r>
        <w:rPr>
          <w:b/>
          <w:bCs/>
          <w:sz w:val="20"/>
        </w:rPr>
        <w:t>600 Longworth Building</w:t>
      </w:r>
    </w:p>
    <w:p w14:paraId="5FC887F1" w14:textId="77777777" w:rsidR="009D138A" w:rsidRDefault="009D138A" w:rsidP="00AD46E0">
      <w:pPr>
        <w:pStyle w:val="BodyText3"/>
        <w:ind w:right="-180"/>
        <w:jc w:val="both"/>
        <w:rPr>
          <w:rFonts w:cs="Arial"/>
          <w:sz w:val="22"/>
          <w:szCs w:val="22"/>
          <w:u w:val="single"/>
        </w:rPr>
      </w:pPr>
    </w:p>
    <w:p w14:paraId="48562DA8" w14:textId="433F810F" w:rsidR="00AD46E0" w:rsidRPr="00D2421C" w:rsidRDefault="00AD46E0" w:rsidP="00AD46E0">
      <w:pPr>
        <w:pStyle w:val="Heading1"/>
        <w:rPr>
          <w:rFonts w:cs="Arial"/>
          <w:sz w:val="20"/>
          <w:szCs w:val="20"/>
        </w:rPr>
      </w:pPr>
      <w:r w:rsidRPr="00D2421C">
        <w:rPr>
          <w:rFonts w:cs="Arial"/>
          <w:sz w:val="20"/>
          <w:szCs w:val="20"/>
        </w:rPr>
        <w:t xml:space="preserve">INTRODUCTIONS </w:t>
      </w:r>
    </w:p>
    <w:p w14:paraId="1A2F4669" w14:textId="50AC8FC6" w:rsidR="00AD46E0" w:rsidRPr="00D2421C" w:rsidRDefault="00F335B1" w:rsidP="00AD46E0">
      <w:pPr>
        <w:pStyle w:val="BodyText3"/>
        <w:ind w:left="90" w:right="-180"/>
        <w:jc w:val="both"/>
        <w:rPr>
          <w:rFonts w:cs="Arial"/>
          <w:sz w:val="20"/>
          <w:szCs w:val="20"/>
        </w:rPr>
      </w:pPr>
      <w:r w:rsidRPr="00D2421C">
        <w:rPr>
          <w:rFonts w:cs="Arial"/>
          <w:sz w:val="20"/>
          <w:szCs w:val="20"/>
        </w:rPr>
        <w:t>Michelle Collier</w:t>
      </w:r>
    </w:p>
    <w:p w14:paraId="3980972F" w14:textId="773163B5" w:rsidR="00F335B1" w:rsidRPr="00D2421C" w:rsidRDefault="00F335B1" w:rsidP="00AD46E0">
      <w:pPr>
        <w:pStyle w:val="BodyText3"/>
        <w:ind w:left="90" w:right="-180"/>
        <w:jc w:val="both"/>
        <w:rPr>
          <w:rFonts w:cs="Arial"/>
          <w:sz w:val="20"/>
          <w:szCs w:val="20"/>
        </w:rPr>
      </w:pPr>
      <w:r w:rsidRPr="00D2421C">
        <w:rPr>
          <w:rFonts w:cs="Arial"/>
          <w:sz w:val="20"/>
          <w:szCs w:val="20"/>
        </w:rPr>
        <w:t>Daron Brown</w:t>
      </w:r>
    </w:p>
    <w:p w14:paraId="1DA801A0" w14:textId="77777777" w:rsidR="00F335B1" w:rsidRPr="00D2421C" w:rsidRDefault="00F335B1" w:rsidP="00F335B1">
      <w:pPr>
        <w:pStyle w:val="BodyText3"/>
        <w:ind w:left="90" w:right="-180"/>
        <w:jc w:val="both"/>
        <w:rPr>
          <w:rFonts w:cs="Arial"/>
          <w:sz w:val="20"/>
          <w:szCs w:val="20"/>
        </w:rPr>
      </w:pPr>
      <w:r w:rsidRPr="00D2421C">
        <w:rPr>
          <w:rFonts w:cs="Arial"/>
          <w:sz w:val="20"/>
          <w:szCs w:val="20"/>
        </w:rPr>
        <w:t>Pat O’Malley</w:t>
      </w:r>
    </w:p>
    <w:p w14:paraId="526572FB" w14:textId="6CF26B3D" w:rsidR="00F335B1" w:rsidRPr="00D2421C" w:rsidRDefault="00F335B1" w:rsidP="00AD46E0">
      <w:pPr>
        <w:pStyle w:val="BodyText3"/>
        <w:ind w:left="90" w:right="-180"/>
        <w:jc w:val="both"/>
        <w:rPr>
          <w:rFonts w:cs="Arial"/>
          <w:sz w:val="20"/>
          <w:szCs w:val="20"/>
        </w:rPr>
      </w:pPr>
      <w:r w:rsidRPr="00D2421C">
        <w:rPr>
          <w:rFonts w:cs="Arial"/>
          <w:sz w:val="20"/>
          <w:szCs w:val="20"/>
        </w:rPr>
        <w:t>Lee Stevens</w:t>
      </w:r>
    </w:p>
    <w:p w14:paraId="7AC1BC7E" w14:textId="0A904D5C" w:rsidR="00F335B1" w:rsidRPr="00D2421C" w:rsidRDefault="00F335B1" w:rsidP="00AD46E0">
      <w:pPr>
        <w:pStyle w:val="BodyText3"/>
        <w:ind w:left="90" w:right="-180"/>
        <w:jc w:val="both"/>
        <w:rPr>
          <w:rFonts w:cs="Arial"/>
          <w:sz w:val="20"/>
          <w:szCs w:val="20"/>
        </w:rPr>
      </w:pPr>
      <w:r w:rsidRPr="00D2421C">
        <w:rPr>
          <w:rFonts w:cs="Arial"/>
          <w:sz w:val="20"/>
          <w:szCs w:val="20"/>
        </w:rPr>
        <w:t>Doug Yeary</w:t>
      </w:r>
    </w:p>
    <w:p w14:paraId="29EB83C3" w14:textId="51F62216" w:rsidR="00F335B1" w:rsidRPr="00D2421C" w:rsidRDefault="00F335B1" w:rsidP="00AD46E0">
      <w:pPr>
        <w:pStyle w:val="BodyText3"/>
        <w:ind w:left="90" w:right="-180"/>
        <w:jc w:val="both"/>
        <w:rPr>
          <w:rFonts w:cs="Arial"/>
          <w:sz w:val="20"/>
          <w:szCs w:val="20"/>
        </w:rPr>
      </w:pPr>
      <w:r w:rsidRPr="00D2421C">
        <w:rPr>
          <w:rFonts w:cs="Arial"/>
          <w:sz w:val="20"/>
          <w:szCs w:val="20"/>
        </w:rPr>
        <w:t>Julie Hoffman</w:t>
      </w:r>
    </w:p>
    <w:p w14:paraId="43649140" w14:textId="77777777" w:rsidR="00F335B1" w:rsidRPr="00D2421C" w:rsidRDefault="00F335B1" w:rsidP="00AD46E0">
      <w:pPr>
        <w:pStyle w:val="BodyText3"/>
        <w:ind w:left="90" w:right="-180"/>
        <w:jc w:val="both"/>
        <w:rPr>
          <w:rFonts w:cs="Arial"/>
          <w:sz w:val="20"/>
          <w:szCs w:val="20"/>
        </w:rPr>
      </w:pPr>
    </w:p>
    <w:p w14:paraId="20D89D81" w14:textId="5FC27418" w:rsidR="00AD46E0" w:rsidRPr="00D2421C" w:rsidRDefault="008B6DF7" w:rsidP="00AD46E0">
      <w:pPr>
        <w:pStyle w:val="BodyText3"/>
        <w:ind w:left="90" w:right="-180"/>
        <w:jc w:val="both"/>
        <w:rPr>
          <w:rFonts w:cs="Arial"/>
          <w:sz w:val="20"/>
          <w:szCs w:val="20"/>
          <w:u w:val="single"/>
        </w:rPr>
      </w:pPr>
      <w:r w:rsidRPr="00D2421C">
        <w:rPr>
          <w:rFonts w:cs="Arial"/>
          <w:sz w:val="20"/>
          <w:szCs w:val="20"/>
        </w:rPr>
        <w:t xml:space="preserve">Please </w:t>
      </w:r>
      <w:r w:rsidR="00FD345C" w:rsidRPr="00D2421C">
        <w:rPr>
          <w:rFonts w:cs="Arial"/>
          <w:sz w:val="20"/>
          <w:szCs w:val="20"/>
        </w:rPr>
        <w:t>sign the</w:t>
      </w:r>
      <w:r w:rsidR="000C4441" w:rsidRPr="00D2421C">
        <w:rPr>
          <w:rFonts w:cs="Arial"/>
          <w:sz w:val="20"/>
          <w:szCs w:val="20"/>
        </w:rPr>
        <w:t xml:space="preserve"> </w:t>
      </w:r>
      <w:r w:rsidR="002D796B" w:rsidRPr="00D2421C">
        <w:rPr>
          <w:rFonts w:cs="Arial"/>
          <w:sz w:val="20"/>
          <w:szCs w:val="20"/>
        </w:rPr>
        <w:t>Pre-</w:t>
      </w:r>
      <w:r w:rsidR="004F6DB5" w:rsidRPr="00D2421C">
        <w:rPr>
          <w:rFonts w:cs="Arial"/>
          <w:sz w:val="20"/>
          <w:szCs w:val="20"/>
        </w:rPr>
        <w:t>Bid</w:t>
      </w:r>
      <w:r w:rsidR="009F320D" w:rsidRPr="00D2421C">
        <w:rPr>
          <w:rFonts w:cs="Arial"/>
          <w:sz w:val="20"/>
          <w:szCs w:val="20"/>
        </w:rPr>
        <w:t xml:space="preserve"> </w:t>
      </w:r>
      <w:r w:rsidR="0018374B" w:rsidRPr="00D2421C">
        <w:rPr>
          <w:rFonts w:cs="Arial"/>
          <w:sz w:val="20"/>
          <w:szCs w:val="20"/>
        </w:rPr>
        <w:t xml:space="preserve">Sign-in </w:t>
      </w:r>
      <w:r w:rsidR="00F60580" w:rsidRPr="00D2421C">
        <w:rPr>
          <w:rFonts w:cs="Arial"/>
          <w:sz w:val="20"/>
          <w:szCs w:val="20"/>
        </w:rPr>
        <w:t>Sheet</w:t>
      </w:r>
    </w:p>
    <w:p w14:paraId="2BE8A2AB" w14:textId="77777777" w:rsidR="00AD46E0" w:rsidRPr="00D2421C" w:rsidRDefault="00AD46E0" w:rsidP="00AD46E0">
      <w:pPr>
        <w:pStyle w:val="BodyText3"/>
        <w:ind w:left="-360" w:right="-180"/>
        <w:jc w:val="both"/>
        <w:rPr>
          <w:rFonts w:cs="Arial"/>
          <w:sz w:val="20"/>
          <w:szCs w:val="20"/>
          <w:u w:val="single"/>
        </w:rPr>
      </w:pPr>
    </w:p>
    <w:p w14:paraId="6AF78860" w14:textId="7C8951BB" w:rsidR="00AD46E0" w:rsidRPr="00D2421C" w:rsidRDefault="00AD46E0" w:rsidP="00AD46E0">
      <w:pPr>
        <w:pStyle w:val="Heading1"/>
        <w:rPr>
          <w:rFonts w:cs="Arial"/>
          <w:sz w:val="20"/>
          <w:szCs w:val="20"/>
        </w:rPr>
      </w:pPr>
      <w:r w:rsidRPr="00D2421C">
        <w:rPr>
          <w:rStyle w:val="Heading1Char"/>
          <w:rFonts w:cs="Arial"/>
          <w:b/>
          <w:bCs/>
          <w:sz w:val="20"/>
          <w:szCs w:val="20"/>
        </w:rPr>
        <w:t>PROCUREMENT OVERVIEW</w:t>
      </w:r>
      <w:r w:rsidRPr="00D2421C">
        <w:rPr>
          <w:rFonts w:cs="Arial"/>
          <w:sz w:val="20"/>
          <w:szCs w:val="20"/>
        </w:rPr>
        <w:t xml:space="preserve"> – </w:t>
      </w:r>
      <w:r w:rsidR="00F335B1" w:rsidRPr="00D2421C">
        <w:rPr>
          <w:rFonts w:cs="Arial"/>
          <w:sz w:val="20"/>
          <w:szCs w:val="20"/>
        </w:rPr>
        <w:t>Michelle Collier</w:t>
      </w:r>
    </w:p>
    <w:p w14:paraId="06ED8111" w14:textId="597CCF19" w:rsidR="00AD46E0" w:rsidRPr="00D2421C" w:rsidRDefault="00AD46E0" w:rsidP="00AD46E0">
      <w:pPr>
        <w:pStyle w:val="BodyText3"/>
        <w:jc w:val="both"/>
        <w:rPr>
          <w:rFonts w:cs="Arial"/>
          <w:sz w:val="20"/>
          <w:szCs w:val="20"/>
        </w:rPr>
      </w:pPr>
      <w:r w:rsidRPr="00D2421C">
        <w:rPr>
          <w:rFonts w:cs="Arial"/>
          <w:b/>
          <w:bCs/>
          <w:sz w:val="20"/>
          <w:szCs w:val="20"/>
          <w:u w:val="single"/>
        </w:rPr>
        <w:t>Request for Proposals:</w:t>
      </w:r>
      <w:r w:rsidRPr="00D2421C">
        <w:rPr>
          <w:rFonts w:cs="Arial"/>
          <w:sz w:val="20"/>
          <w:szCs w:val="20"/>
          <w:u w:val="single"/>
        </w:rPr>
        <w:t xml:space="preserve"> </w:t>
      </w:r>
      <w:r w:rsidRPr="00D2421C">
        <w:rPr>
          <w:rFonts w:cs="Arial"/>
          <w:sz w:val="20"/>
          <w:szCs w:val="20"/>
        </w:rPr>
        <w:t xml:space="preserve">This procurement is a formal Qualifications-based Request for Proposal (RFP) meaning that the firms will be rated based on the evaluation criteria and only the highest rated proposer(s) will be requested to submit pricing. </w:t>
      </w:r>
      <w:r w:rsidR="00F335B1" w:rsidRPr="00D2421C">
        <w:rPr>
          <w:rFonts w:cs="Arial"/>
          <w:sz w:val="20"/>
          <w:szCs w:val="20"/>
        </w:rPr>
        <w:t xml:space="preserve">The top offerors will be invited to submit pricing in a separate private solicitation </w:t>
      </w:r>
      <w:r w:rsidRPr="00D2421C">
        <w:rPr>
          <w:rFonts w:cs="Arial"/>
          <w:sz w:val="20"/>
          <w:szCs w:val="20"/>
        </w:rPr>
        <w:t xml:space="preserve">Proposers cannot submit pricing with their proposals, or their proposal will not be considered for award. After pricing negotiation, the highest rated proposer will be recommended for award which must be approved by RTA’s Board of Trustees. </w:t>
      </w:r>
      <w:r w:rsidR="00F335B1" w:rsidRPr="00D2421C">
        <w:rPr>
          <w:rFonts w:cs="Arial"/>
          <w:sz w:val="20"/>
          <w:szCs w:val="20"/>
        </w:rPr>
        <w:t xml:space="preserve">This will go before the Board of Directors on August 5, 2026.  I will notify the winning offeror and execute a contract after this meeting.  </w:t>
      </w:r>
    </w:p>
    <w:p w14:paraId="607D25B7" w14:textId="2421E8C5" w:rsidR="00AD46E0" w:rsidRPr="00D2421C" w:rsidRDefault="00AD46E0" w:rsidP="00AD46E0">
      <w:pPr>
        <w:pStyle w:val="BodyText3"/>
        <w:jc w:val="both"/>
        <w:rPr>
          <w:rFonts w:cs="Arial"/>
          <w:sz w:val="20"/>
          <w:szCs w:val="20"/>
        </w:rPr>
      </w:pPr>
      <w:r w:rsidRPr="00D2421C">
        <w:rPr>
          <w:rFonts w:cs="Arial"/>
          <w:b/>
          <w:bCs/>
          <w:sz w:val="20"/>
          <w:szCs w:val="20"/>
          <w:u w:val="single"/>
        </w:rPr>
        <w:t>Evaluation Criteria</w:t>
      </w:r>
      <w:r w:rsidRPr="00D2421C">
        <w:rPr>
          <w:rFonts w:cs="Arial"/>
          <w:sz w:val="20"/>
          <w:szCs w:val="20"/>
        </w:rPr>
        <w:t xml:space="preserve">: </w:t>
      </w:r>
    </w:p>
    <w:p w14:paraId="60271BB7" w14:textId="77777777" w:rsidR="00F335B1" w:rsidRPr="00D2421C" w:rsidRDefault="00F335B1" w:rsidP="00F335B1">
      <w:pPr>
        <w:pStyle w:val="BodyText3"/>
        <w:numPr>
          <w:ilvl w:val="0"/>
          <w:numId w:val="17"/>
        </w:numPr>
        <w:jc w:val="both"/>
        <w:rPr>
          <w:rFonts w:cs="Arial"/>
          <w:sz w:val="20"/>
          <w:szCs w:val="20"/>
        </w:rPr>
      </w:pPr>
      <w:r w:rsidRPr="00D2421C">
        <w:rPr>
          <w:rFonts w:cs="Arial"/>
          <w:sz w:val="20"/>
          <w:szCs w:val="20"/>
        </w:rPr>
        <w:t>1. Design, Technical Approach and Methodology</w:t>
      </w:r>
    </w:p>
    <w:p w14:paraId="575F30D1" w14:textId="77777777" w:rsidR="00F335B1" w:rsidRPr="00D2421C" w:rsidRDefault="00F335B1" w:rsidP="00F335B1">
      <w:pPr>
        <w:pStyle w:val="BodyText3"/>
        <w:jc w:val="both"/>
        <w:rPr>
          <w:rFonts w:cs="Arial"/>
          <w:sz w:val="20"/>
          <w:szCs w:val="20"/>
        </w:rPr>
      </w:pPr>
      <w:r w:rsidRPr="00D2421C">
        <w:rPr>
          <w:rFonts w:cs="Arial"/>
          <w:sz w:val="20"/>
          <w:szCs w:val="20"/>
        </w:rPr>
        <w:t xml:space="preserve">This section evaluates how well the proposer plans, structures, and executes the work required in the scope. It focuses on three integrated elements: </w:t>
      </w:r>
    </w:p>
    <w:p w14:paraId="79E0ACFF" w14:textId="77777777" w:rsidR="00F335B1" w:rsidRPr="00D2421C" w:rsidRDefault="00F335B1" w:rsidP="00F335B1">
      <w:pPr>
        <w:pStyle w:val="BodyText3"/>
        <w:numPr>
          <w:ilvl w:val="1"/>
          <w:numId w:val="17"/>
        </w:numPr>
        <w:jc w:val="both"/>
        <w:rPr>
          <w:rFonts w:cs="Arial"/>
          <w:sz w:val="20"/>
          <w:szCs w:val="20"/>
        </w:rPr>
      </w:pPr>
      <w:r w:rsidRPr="00D2421C">
        <w:rPr>
          <w:rFonts w:cs="Arial"/>
          <w:sz w:val="20"/>
          <w:szCs w:val="20"/>
        </w:rPr>
        <w:t>Design: The overall concept and structure of the solution, including how requirements are translated into a coherent, functional plan or system.</w:t>
      </w:r>
    </w:p>
    <w:p w14:paraId="3B59A221" w14:textId="77777777" w:rsidR="00F335B1" w:rsidRPr="00D2421C" w:rsidRDefault="00F335B1" w:rsidP="00F335B1">
      <w:pPr>
        <w:pStyle w:val="BodyText3"/>
        <w:numPr>
          <w:ilvl w:val="1"/>
          <w:numId w:val="17"/>
        </w:numPr>
        <w:jc w:val="both"/>
        <w:rPr>
          <w:rFonts w:cs="Arial"/>
          <w:sz w:val="20"/>
          <w:szCs w:val="20"/>
        </w:rPr>
      </w:pPr>
      <w:r w:rsidRPr="00D2421C">
        <w:rPr>
          <w:rFonts w:cs="Arial"/>
          <w:sz w:val="20"/>
          <w:szCs w:val="20"/>
        </w:rPr>
        <w:t>Technical Approach: The specific strategies, tools, technologies, and processes proposed to achieve the objectives.</w:t>
      </w:r>
    </w:p>
    <w:p w14:paraId="78ADB09D" w14:textId="77777777" w:rsidR="00F335B1" w:rsidRPr="00D2421C" w:rsidRDefault="00F335B1" w:rsidP="00F335B1">
      <w:pPr>
        <w:pStyle w:val="BodyText3"/>
        <w:numPr>
          <w:ilvl w:val="1"/>
          <w:numId w:val="17"/>
        </w:numPr>
        <w:jc w:val="both"/>
        <w:rPr>
          <w:rFonts w:cs="Arial"/>
          <w:sz w:val="20"/>
          <w:szCs w:val="20"/>
        </w:rPr>
      </w:pPr>
      <w:r w:rsidRPr="00D2421C">
        <w:rPr>
          <w:rFonts w:cs="Arial"/>
          <w:sz w:val="20"/>
          <w:szCs w:val="20"/>
        </w:rPr>
        <w:t>Methodology: The step-by-step execution plan-how the work will be performed, managed, monitored, and delivered (e.g., timelines, workflows, quality control, and risk mitigation.</w:t>
      </w:r>
    </w:p>
    <w:p w14:paraId="3A5D7511" w14:textId="77777777" w:rsidR="00F335B1" w:rsidRPr="00D2421C" w:rsidRDefault="00F335B1" w:rsidP="00F335B1">
      <w:pPr>
        <w:pStyle w:val="BodyText3"/>
        <w:jc w:val="both"/>
        <w:rPr>
          <w:rFonts w:cs="Arial"/>
          <w:sz w:val="20"/>
          <w:szCs w:val="20"/>
        </w:rPr>
      </w:pPr>
      <w:r w:rsidRPr="00D2421C">
        <w:rPr>
          <w:rFonts w:cs="Arial"/>
          <w:sz w:val="20"/>
          <w:szCs w:val="20"/>
        </w:rPr>
        <w:t>Overall, this criterion measures the understanding of the project, feasibility and soundness of the proposed solution, and the likelihood of successful, timely, and compliant performance.</w:t>
      </w:r>
    </w:p>
    <w:p w14:paraId="2E60D4BC" w14:textId="77777777" w:rsidR="00F335B1" w:rsidRPr="00D2421C" w:rsidRDefault="00F335B1" w:rsidP="00F335B1">
      <w:pPr>
        <w:pStyle w:val="BodyText3"/>
        <w:numPr>
          <w:ilvl w:val="0"/>
          <w:numId w:val="17"/>
        </w:numPr>
        <w:jc w:val="both"/>
        <w:rPr>
          <w:rFonts w:cs="Arial"/>
          <w:sz w:val="20"/>
          <w:szCs w:val="20"/>
        </w:rPr>
      </w:pPr>
      <w:r w:rsidRPr="00D2421C">
        <w:rPr>
          <w:rFonts w:cs="Arial"/>
          <w:sz w:val="20"/>
          <w:szCs w:val="20"/>
        </w:rPr>
        <w:t>2. Qualifications and Experience</w:t>
      </w:r>
    </w:p>
    <w:p w14:paraId="53CDF5AE" w14:textId="77777777" w:rsidR="00F335B1" w:rsidRPr="00D2421C" w:rsidRDefault="00F335B1" w:rsidP="00F335B1">
      <w:pPr>
        <w:pStyle w:val="BodyText3"/>
        <w:jc w:val="both"/>
        <w:rPr>
          <w:rFonts w:cs="Arial"/>
          <w:sz w:val="20"/>
          <w:szCs w:val="20"/>
        </w:rPr>
      </w:pPr>
      <w:r w:rsidRPr="00D2421C">
        <w:rPr>
          <w:rFonts w:cs="Arial"/>
          <w:sz w:val="20"/>
          <w:szCs w:val="20"/>
        </w:rPr>
        <w:t xml:space="preserve">This section evaluates the proposer's demonstrated ability to successfully perform the work based on their organizational capacity, personnel credentials, and relevant past performance. This criterion considers the </w:t>
      </w:r>
      <w:proofErr w:type="gramStart"/>
      <w:r w:rsidRPr="00D2421C">
        <w:rPr>
          <w:rFonts w:cs="Arial"/>
          <w:sz w:val="20"/>
          <w:szCs w:val="20"/>
        </w:rPr>
        <w:t>firms</w:t>
      </w:r>
      <w:proofErr w:type="gramEnd"/>
      <w:r w:rsidRPr="00D2421C">
        <w:rPr>
          <w:rFonts w:cs="Arial"/>
          <w:sz w:val="20"/>
          <w:szCs w:val="20"/>
        </w:rPr>
        <w:t xml:space="preserve"> experience with projects of similar size, scope, and complexity, particularly in comparable industries or regulatory environments. The qualifications of key personnel, including education, certifications, technical expertise, and defined roles on the project. </w:t>
      </w:r>
    </w:p>
    <w:p w14:paraId="1F56F5B2" w14:textId="77777777" w:rsidR="00F335B1" w:rsidRPr="00D2421C" w:rsidRDefault="00F335B1" w:rsidP="00F335B1">
      <w:pPr>
        <w:pStyle w:val="BodyText3"/>
        <w:jc w:val="both"/>
        <w:rPr>
          <w:rFonts w:cs="Arial"/>
          <w:sz w:val="20"/>
          <w:szCs w:val="20"/>
        </w:rPr>
      </w:pPr>
      <w:r w:rsidRPr="00D2421C">
        <w:rPr>
          <w:rFonts w:cs="Arial"/>
          <w:sz w:val="20"/>
          <w:szCs w:val="20"/>
        </w:rPr>
        <w:lastRenderedPageBreak/>
        <w:t>Overall, this criterion measures the degree to which the proposer brings proven expertise and a capable team, reducing performance risk and increasing the likelihood of successful project delivery.</w:t>
      </w:r>
    </w:p>
    <w:p w14:paraId="661C6D34" w14:textId="77777777" w:rsidR="00F335B1" w:rsidRPr="00D2421C" w:rsidRDefault="00F335B1" w:rsidP="00F335B1">
      <w:pPr>
        <w:pStyle w:val="BodyText3"/>
        <w:numPr>
          <w:ilvl w:val="0"/>
          <w:numId w:val="17"/>
        </w:numPr>
        <w:jc w:val="both"/>
        <w:rPr>
          <w:rFonts w:cs="Arial"/>
          <w:sz w:val="20"/>
          <w:szCs w:val="20"/>
        </w:rPr>
      </w:pPr>
      <w:r w:rsidRPr="00D2421C">
        <w:rPr>
          <w:rFonts w:cs="Arial"/>
          <w:sz w:val="20"/>
          <w:szCs w:val="20"/>
        </w:rPr>
        <w:t>3. Project Schedule/Timeline</w:t>
      </w:r>
    </w:p>
    <w:p w14:paraId="6B963EED" w14:textId="77777777" w:rsidR="00F335B1" w:rsidRPr="00D2421C" w:rsidRDefault="00F335B1" w:rsidP="00F335B1">
      <w:pPr>
        <w:pStyle w:val="BodyText3"/>
        <w:jc w:val="both"/>
        <w:rPr>
          <w:rFonts w:cs="Arial"/>
          <w:sz w:val="20"/>
          <w:szCs w:val="20"/>
        </w:rPr>
      </w:pPr>
      <w:r w:rsidRPr="00D2421C">
        <w:rPr>
          <w:rFonts w:cs="Arial"/>
          <w:sz w:val="20"/>
          <w:szCs w:val="20"/>
        </w:rPr>
        <w:t>This section evaluates the proposer's ability to plan and deliver the work within a required timeframe through a clear, realist, and well-structured schedule. This criterion considers the completeness and logic of the proposed schedule, including key milestones, deliverable, sequencing of activities, the feasibility of the timeline, and the ability to meet critical deadlines, particularly for time-sensitive tasks.</w:t>
      </w:r>
    </w:p>
    <w:p w14:paraId="7DF8FE88" w14:textId="77777777" w:rsidR="00F335B1" w:rsidRPr="00D2421C" w:rsidRDefault="00F335B1" w:rsidP="00F335B1">
      <w:pPr>
        <w:pStyle w:val="BodyText3"/>
        <w:jc w:val="both"/>
        <w:rPr>
          <w:rFonts w:cs="Arial"/>
          <w:sz w:val="20"/>
          <w:szCs w:val="20"/>
        </w:rPr>
      </w:pPr>
      <w:r w:rsidRPr="00D2421C">
        <w:rPr>
          <w:rFonts w:cs="Arial"/>
          <w:sz w:val="20"/>
          <w:szCs w:val="20"/>
        </w:rPr>
        <w:t>Overall, this criterion measures how effectively the proposer demonstrates control over project timing and their capacity to deliver services on schedule without compromising quality or compliance.</w:t>
      </w:r>
    </w:p>
    <w:p w14:paraId="3C1CD4B1" w14:textId="72D271C2" w:rsidR="00AD46E0" w:rsidRPr="00D2421C" w:rsidRDefault="00AD46E0" w:rsidP="00AD46E0">
      <w:pPr>
        <w:pStyle w:val="BodyText3"/>
        <w:jc w:val="both"/>
        <w:rPr>
          <w:rFonts w:cs="Arial"/>
          <w:sz w:val="20"/>
          <w:szCs w:val="20"/>
        </w:rPr>
      </w:pPr>
      <w:r w:rsidRPr="00D2421C">
        <w:rPr>
          <w:rFonts w:cs="Arial"/>
          <w:b/>
          <w:bCs/>
          <w:sz w:val="20"/>
          <w:szCs w:val="20"/>
          <w:u w:val="single"/>
        </w:rPr>
        <w:t xml:space="preserve">Questions &amp; Communication: </w:t>
      </w:r>
      <w:r w:rsidRPr="00D2421C">
        <w:rPr>
          <w:rFonts w:cs="Arial"/>
          <w:sz w:val="20"/>
          <w:szCs w:val="20"/>
        </w:rPr>
        <w:t>All contact regarding this procurement must be made through me or another member of the procurement department. If you have any questions, my direct number and e-mail address are in the RFP package.</w:t>
      </w:r>
    </w:p>
    <w:p w14:paraId="391863C4" w14:textId="41D7CCB8" w:rsidR="00AD46E0" w:rsidRPr="00D2421C" w:rsidRDefault="00AD46E0" w:rsidP="00AD46E0">
      <w:pPr>
        <w:pStyle w:val="BodyText3"/>
        <w:jc w:val="both"/>
        <w:rPr>
          <w:rFonts w:cs="Arial"/>
          <w:sz w:val="20"/>
          <w:szCs w:val="20"/>
        </w:rPr>
      </w:pPr>
      <w:r w:rsidRPr="00D2421C">
        <w:rPr>
          <w:rFonts w:cs="Arial"/>
          <w:sz w:val="20"/>
          <w:szCs w:val="20"/>
        </w:rPr>
        <w:t xml:space="preserve">An addendum answering all questions received </w:t>
      </w:r>
      <w:r w:rsidR="004E0D5A" w:rsidRPr="00D2421C">
        <w:rPr>
          <w:rFonts w:cs="Arial"/>
          <w:sz w:val="20"/>
          <w:szCs w:val="20"/>
        </w:rPr>
        <w:t xml:space="preserve">today, as well as attendees, will be posted on </w:t>
      </w:r>
      <w:proofErr w:type="spellStart"/>
      <w:r w:rsidR="004E0D5A" w:rsidRPr="00D2421C">
        <w:rPr>
          <w:rFonts w:cs="Arial"/>
          <w:sz w:val="20"/>
          <w:szCs w:val="20"/>
        </w:rPr>
        <w:t>OpenGov</w:t>
      </w:r>
      <w:proofErr w:type="spellEnd"/>
      <w:r w:rsidR="004E0D5A" w:rsidRPr="00D2421C">
        <w:rPr>
          <w:rFonts w:cs="Arial"/>
          <w:sz w:val="20"/>
          <w:szCs w:val="20"/>
        </w:rPr>
        <w:t xml:space="preserve"> in the form of an addendum.  Please note that </w:t>
      </w:r>
      <w:proofErr w:type="gramStart"/>
      <w:r w:rsidR="004E0D5A" w:rsidRPr="00D2421C">
        <w:rPr>
          <w:rFonts w:cs="Arial"/>
          <w:sz w:val="20"/>
          <w:szCs w:val="20"/>
        </w:rPr>
        <w:t>in order to</w:t>
      </w:r>
      <w:proofErr w:type="gramEnd"/>
      <w:r w:rsidR="004E0D5A" w:rsidRPr="00D2421C">
        <w:rPr>
          <w:rFonts w:cs="Arial"/>
          <w:sz w:val="20"/>
          <w:szCs w:val="20"/>
        </w:rPr>
        <w:t xml:space="preserve"> be deemed </w:t>
      </w:r>
      <w:r w:rsidR="004E0D5A" w:rsidRPr="00D2421C">
        <w:rPr>
          <w:rFonts w:cs="Arial"/>
          <w:sz w:val="20"/>
          <w:szCs w:val="20"/>
        </w:rPr>
        <w:br/>
        <w:t xml:space="preserve">Responsive, you MUST acknowledge all addendums and notices posted in the solicitation.  </w:t>
      </w:r>
    </w:p>
    <w:p w14:paraId="77B82B65" w14:textId="1F0873EC" w:rsidR="00AD46E0" w:rsidRPr="00D2421C" w:rsidRDefault="00AD46E0" w:rsidP="00AD46E0">
      <w:pPr>
        <w:pStyle w:val="BodyText3"/>
        <w:jc w:val="both"/>
        <w:rPr>
          <w:rFonts w:cs="Arial"/>
          <w:sz w:val="20"/>
          <w:szCs w:val="20"/>
        </w:rPr>
      </w:pPr>
      <w:r w:rsidRPr="00D2421C">
        <w:rPr>
          <w:rFonts w:cs="Arial"/>
          <w:b/>
          <w:bCs/>
          <w:sz w:val="20"/>
          <w:szCs w:val="20"/>
          <w:u w:val="single"/>
        </w:rPr>
        <w:t>Due Date:</w:t>
      </w:r>
      <w:r w:rsidRPr="00D2421C">
        <w:rPr>
          <w:rFonts w:cs="Arial"/>
          <w:sz w:val="20"/>
          <w:szCs w:val="20"/>
        </w:rPr>
        <w:t xml:space="preserve"> Proposals are due no later than 10:00 AM EST, on </w:t>
      </w:r>
      <w:r w:rsidR="004E0D5A" w:rsidRPr="00D2421C">
        <w:rPr>
          <w:rFonts w:cs="Arial"/>
          <w:sz w:val="20"/>
          <w:szCs w:val="20"/>
        </w:rPr>
        <w:t xml:space="preserve">May 29, </w:t>
      </w:r>
      <w:proofErr w:type="gramStart"/>
      <w:r w:rsidR="004E0D5A" w:rsidRPr="00D2421C">
        <w:rPr>
          <w:rFonts w:cs="Arial"/>
          <w:sz w:val="20"/>
          <w:szCs w:val="20"/>
        </w:rPr>
        <w:t>2026.</w:t>
      </w:r>
      <w:r w:rsidRPr="00D2421C">
        <w:rPr>
          <w:rFonts w:cs="Arial"/>
          <w:sz w:val="20"/>
          <w:szCs w:val="20"/>
        </w:rPr>
        <w:t>.</w:t>
      </w:r>
      <w:proofErr w:type="gramEnd"/>
      <w:r w:rsidRPr="00D2421C">
        <w:rPr>
          <w:rFonts w:cs="Arial"/>
          <w:sz w:val="20"/>
          <w:szCs w:val="20"/>
        </w:rPr>
        <w:t xml:space="preserve"> A week or so after the due date, RTA will be requesting pricing from the highest rated proposer(s). Results regarding the award will not be available until after the tentative award date of </w:t>
      </w:r>
      <w:r w:rsidR="004E0D5A" w:rsidRPr="00D2421C">
        <w:rPr>
          <w:rFonts w:cs="Arial"/>
          <w:sz w:val="20"/>
          <w:szCs w:val="20"/>
        </w:rPr>
        <w:t>August 5, 2026.</w:t>
      </w:r>
    </w:p>
    <w:p w14:paraId="6F65AFAF" w14:textId="77777777" w:rsidR="00AD46E0" w:rsidRPr="00D2421C" w:rsidRDefault="00AD46E0" w:rsidP="00AD46E0">
      <w:pPr>
        <w:pStyle w:val="BodyText3"/>
        <w:jc w:val="both"/>
        <w:rPr>
          <w:rFonts w:cs="Arial"/>
          <w:sz w:val="20"/>
          <w:szCs w:val="20"/>
        </w:rPr>
      </w:pPr>
      <w:r w:rsidRPr="00D2421C">
        <w:rPr>
          <w:rFonts w:cs="Arial"/>
          <w:b/>
          <w:bCs/>
          <w:sz w:val="20"/>
          <w:szCs w:val="20"/>
          <w:u w:val="single"/>
        </w:rPr>
        <w:t>Affidavits and Required Forms:</w:t>
      </w:r>
      <w:r w:rsidRPr="00D2421C">
        <w:rPr>
          <w:rFonts w:cs="Arial"/>
          <w:sz w:val="20"/>
          <w:szCs w:val="20"/>
        </w:rPr>
        <w:t xml:space="preserve"> Along with the proposal, vendors will need to submit forms and affidavits contained in the procurement package. The forms submitted with your proposal should be fully completed and executed with signature(s), date(s), and notarization if required.  If you do not have every required item completed and submitted as necessary, your proposal may be found non-responsive.</w:t>
      </w:r>
    </w:p>
    <w:p w14:paraId="2B11BF4B" w14:textId="77777777" w:rsidR="00AD46E0" w:rsidRPr="00D2421C" w:rsidRDefault="00AD46E0" w:rsidP="00AD46E0">
      <w:pPr>
        <w:pStyle w:val="BodyText3"/>
        <w:jc w:val="both"/>
        <w:rPr>
          <w:rFonts w:cs="Arial"/>
          <w:sz w:val="20"/>
          <w:szCs w:val="20"/>
        </w:rPr>
      </w:pPr>
      <w:r w:rsidRPr="00D2421C">
        <w:rPr>
          <w:rFonts w:cs="Arial"/>
          <w:sz w:val="20"/>
          <w:szCs w:val="20"/>
        </w:rPr>
        <w:t xml:space="preserve">One of the forms, the Affirmative Action Assurance Plan, must be obtained from the City of Dayton, so please review the instructions for that in the procurement </w:t>
      </w:r>
      <w:proofErr w:type="gramStart"/>
      <w:r w:rsidRPr="00D2421C">
        <w:rPr>
          <w:rFonts w:cs="Arial"/>
          <w:sz w:val="20"/>
          <w:szCs w:val="20"/>
        </w:rPr>
        <w:t>package for that</w:t>
      </w:r>
      <w:proofErr w:type="gramEnd"/>
      <w:r w:rsidRPr="00D2421C">
        <w:rPr>
          <w:rFonts w:cs="Arial"/>
          <w:sz w:val="20"/>
          <w:szCs w:val="20"/>
        </w:rPr>
        <w:t xml:space="preserve"> and allow yourselves up to 10 business days to complete that requirement. </w:t>
      </w:r>
    </w:p>
    <w:p w14:paraId="06FD0191" w14:textId="03328E6A" w:rsidR="00417F51" w:rsidRPr="00D2421C" w:rsidRDefault="004B1799" w:rsidP="00F70148">
      <w:pPr>
        <w:ind w:right="-180"/>
        <w:jc w:val="both"/>
        <w:rPr>
          <w:rFonts w:cs="Arial"/>
          <w:sz w:val="20"/>
        </w:rPr>
      </w:pPr>
      <w:r w:rsidRPr="00D2421C">
        <w:rPr>
          <w:rFonts w:cs="Arial"/>
          <w:sz w:val="20"/>
          <w:u w:val="single"/>
        </w:rPr>
        <w:t>GENERAL</w:t>
      </w:r>
      <w:r w:rsidR="000C437B" w:rsidRPr="00D2421C">
        <w:rPr>
          <w:rFonts w:cs="Arial"/>
          <w:sz w:val="20"/>
        </w:rPr>
        <w:t xml:space="preserve">: </w:t>
      </w:r>
      <w:r w:rsidR="003E359D" w:rsidRPr="00D2421C">
        <w:rPr>
          <w:rFonts w:cs="Arial"/>
          <w:sz w:val="20"/>
        </w:rPr>
        <w:t>RFQ</w:t>
      </w:r>
      <w:r w:rsidRPr="00D2421C">
        <w:rPr>
          <w:rFonts w:cs="Arial"/>
          <w:sz w:val="20"/>
        </w:rPr>
        <w:t xml:space="preserve"> package</w:t>
      </w:r>
      <w:r w:rsidR="000C437B" w:rsidRPr="00D2421C">
        <w:rPr>
          <w:rFonts w:cs="Arial"/>
          <w:sz w:val="20"/>
        </w:rPr>
        <w:t xml:space="preserve"> can be found </w:t>
      </w:r>
      <w:r w:rsidRPr="00D2421C">
        <w:rPr>
          <w:rFonts w:cs="Arial"/>
          <w:sz w:val="20"/>
        </w:rPr>
        <w:t xml:space="preserve">online at </w:t>
      </w:r>
      <w:hyperlink r:id="rId7" w:history="1">
        <w:r w:rsidR="003E359D" w:rsidRPr="00D2421C">
          <w:rPr>
            <w:rStyle w:val="Hyperlink"/>
            <w:rFonts w:cs="Arial"/>
            <w:sz w:val="20"/>
          </w:rPr>
          <w:t>http://opengov.org</w:t>
        </w:r>
      </w:hyperlink>
    </w:p>
    <w:p w14:paraId="0D645E3E" w14:textId="5E803621" w:rsidR="00D2421C" w:rsidRPr="00D2421C" w:rsidRDefault="00D2421C" w:rsidP="00F70148">
      <w:pPr>
        <w:ind w:right="-180"/>
        <w:jc w:val="both"/>
        <w:rPr>
          <w:rFonts w:cs="Arial"/>
          <w:sz w:val="20"/>
        </w:rPr>
      </w:pPr>
      <w:r w:rsidRPr="00D2421C">
        <w:rPr>
          <w:rFonts w:cs="Arial"/>
          <w:sz w:val="20"/>
        </w:rPr>
        <w:t>.</w:t>
      </w:r>
    </w:p>
    <w:p w14:paraId="3D94EA6A" w14:textId="77777777" w:rsidR="00D2421C" w:rsidRPr="00D2421C" w:rsidRDefault="00D2421C" w:rsidP="00F70148">
      <w:pPr>
        <w:ind w:right="-180"/>
        <w:jc w:val="both"/>
        <w:rPr>
          <w:rFonts w:cs="Arial"/>
          <w:sz w:val="20"/>
        </w:rPr>
      </w:pPr>
    </w:p>
    <w:p w14:paraId="38D01151" w14:textId="77777777" w:rsidR="00D2421C" w:rsidRPr="00D2421C" w:rsidRDefault="00D2421C" w:rsidP="00D2421C">
      <w:pPr>
        <w:rPr>
          <w:rFonts w:cs="Arial"/>
          <w:sz w:val="20"/>
        </w:rPr>
      </w:pPr>
    </w:p>
    <w:p w14:paraId="5A7908CE" w14:textId="4852B4EE" w:rsidR="00DC3830" w:rsidRPr="00D2421C" w:rsidRDefault="000C437B" w:rsidP="00DC3830">
      <w:pPr>
        <w:pStyle w:val="Heading1"/>
        <w:rPr>
          <w:rFonts w:cs="Arial"/>
          <w:sz w:val="20"/>
          <w:szCs w:val="20"/>
        </w:rPr>
      </w:pPr>
      <w:r w:rsidRPr="00D2421C">
        <w:rPr>
          <w:rFonts w:cs="Arial"/>
          <w:sz w:val="20"/>
          <w:szCs w:val="20"/>
        </w:rPr>
        <w:t>SCOPE OF WORK</w:t>
      </w:r>
      <w:r w:rsidR="00DC3830" w:rsidRPr="00D2421C">
        <w:rPr>
          <w:rFonts w:cs="Arial"/>
          <w:sz w:val="20"/>
          <w:szCs w:val="20"/>
        </w:rPr>
        <w:t xml:space="preserve"> OVERVIEW – </w:t>
      </w:r>
      <w:r w:rsidR="00D2421C" w:rsidRPr="00D2421C">
        <w:rPr>
          <w:rFonts w:cs="Arial"/>
          <w:sz w:val="20"/>
          <w:szCs w:val="20"/>
        </w:rPr>
        <w:t>Daron Brown</w:t>
      </w:r>
    </w:p>
    <w:p w14:paraId="6E654DCC" w14:textId="77777777" w:rsidR="00D2421C" w:rsidRPr="00D2421C" w:rsidRDefault="00D2421C" w:rsidP="00D2421C">
      <w:pPr>
        <w:spacing w:after="120"/>
        <w:ind w:right="-180"/>
        <w:jc w:val="both"/>
        <w:rPr>
          <w:rFonts w:cs="Arial"/>
          <w:sz w:val="20"/>
        </w:rPr>
      </w:pPr>
      <w:r w:rsidRPr="00D2421C">
        <w:rPr>
          <w:rFonts w:cs="Arial"/>
          <w:sz w:val="20"/>
        </w:rPr>
        <w:t>2.1. Scope of Work</w:t>
      </w:r>
    </w:p>
    <w:p w14:paraId="3F667043" w14:textId="77777777" w:rsidR="00D2421C" w:rsidRPr="00D2421C" w:rsidRDefault="00D2421C" w:rsidP="00D2421C">
      <w:pPr>
        <w:spacing w:after="120"/>
        <w:ind w:right="-180"/>
        <w:jc w:val="both"/>
        <w:rPr>
          <w:rFonts w:cs="Arial"/>
          <w:sz w:val="20"/>
        </w:rPr>
      </w:pPr>
      <w:r w:rsidRPr="00D2421C">
        <w:rPr>
          <w:rFonts w:cs="Arial"/>
          <w:sz w:val="20"/>
        </w:rPr>
        <w:t>The Greater Dayton Regional Transit Authority (RTA) is seeking proposals for a turnkey project to replace the existing entrance and exit garage door systems at its facility located at 600 Longworth Street, Dayton, Ohio 45402.</w:t>
      </w:r>
    </w:p>
    <w:p w14:paraId="57ED9C92" w14:textId="77777777" w:rsidR="00D2421C" w:rsidRPr="00D2421C" w:rsidRDefault="00D2421C" w:rsidP="00D2421C">
      <w:pPr>
        <w:spacing w:after="120"/>
        <w:ind w:right="-180"/>
        <w:rPr>
          <w:rFonts w:cs="Arial"/>
          <w:sz w:val="20"/>
        </w:rPr>
      </w:pPr>
      <w:r w:rsidRPr="00D2421C">
        <w:rPr>
          <w:rFonts w:cs="Arial"/>
          <w:b/>
          <w:bCs/>
          <w:sz w:val="20"/>
        </w:rPr>
        <w:t>Procurement Process</w:t>
      </w:r>
      <w:r w:rsidRPr="00D2421C">
        <w:rPr>
          <w:rFonts w:cs="Arial"/>
          <w:sz w:val="20"/>
        </w:rPr>
        <w:br/>
        <w:t>This Request for Proposals (RFP) will be conducted in two phases:</w:t>
      </w:r>
    </w:p>
    <w:p w14:paraId="519C6BE6" w14:textId="77777777" w:rsidR="00D2421C" w:rsidRPr="00D2421C" w:rsidRDefault="00D2421C" w:rsidP="00D2421C">
      <w:pPr>
        <w:numPr>
          <w:ilvl w:val="0"/>
          <w:numId w:val="18"/>
        </w:numPr>
        <w:spacing w:after="120"/>
        <w:ind w:right="-180"/>
        <w:rPr>
          <w:rFonts w:cs="Arial"/>
          <w:sz w:val="20"/>
        </w:rPr>
      </w:pPr>
      <w:r w:rsidRPr="00D2421C">
        <w:rPr>
          <w:rFonts w:cs="Arial"/>
          <w:b/>
          <w:bCs/>
          <w:sz w:val="20"/>
        </w:rPr>
        <w:t>Phase One – Qualifications &amp; Technical Evaluation</w:t>
      </w:r>
      <w:r w:rsidRPr="00D2421C">
        <w:rPr>
          <w:rFonts w:cs="Arial"/>
          <w:sz w:val="20"/>
        </w:rPr>
        <w:br/>
        <w:t>Proposers will be evaluated based on:</w:t>
      </w:r>
    </w:p>
    <w:p w14:paraId="78E42EBE" w14:textId="77777777" w:rsidR="00D2421C" w:rsidRPr="00D2421C" w:rsidRDefault="00D2421C" w:rsidP="00D2421C">
      <w:pPr>
        <w:numPr>
          <w:ilvl w:val="1"/>
          <w:numId w:val="18"/>
        </w:numPr>
        <w:spacing w:after="120"/>
        <w:ind w:right="-180"/>
        <w:jc w:val="both"/>
        <w:rPr>
          <w:rFonts w:cs="Arial"/>
          <w:sz w:val="20"/>
        </w:rPr>
      </w:pPr>
      <w:r w:rsidRPr="00D2421C">
        <w:rPr>
          <w:rFonts w:cs="Arial"/>
          <w:sz w:val="20"/>
        </w:rPr>
        <w:t>Design and technical approach</w:t>
      </w:r>
    </w:p>
    <w:p w14:paraId="64E22735" w14:textId="77777777" w:rsidR="00D2421C" w:rsidRPr="00D2421C" w:rsidRDefault="00D2421C" w:rsidP="00D2421C">
      <w:pPr>
        <w:numPr>
          <w:ilvl w:val="1"/>
          <w:numId w:val="18"/>
        </w:numPr>
        <w:spacing w:after="120"/>
        <w:ind w:right="-180"/>
        <w:jc w:val="both"/>
        <w:rPr>
          <w:rFonts w:cs="Arial"/>
          <w:sz w:val="20"/>
        </w:rPr>
      </w:pPr>
      <w:r w:rsidRPr="00D2421C">
        <w:rPr>
          <w:rFonts w:cs="Arial"/>
          <w:sz w:val="20"/>
        </w:rPr>
        <w:t>Methodology</w:t>
      </w:r>
    </w:p>
    <w:p w14:paraId="53070394" w14:textId="77777777" w:rsidR="00D2421C" w:rsidRPr="00D2421C" w:rsidRDefault="00D2421C" w:rsidP="00D2421C">
      <w:pPr>
        <w:numPr>
          <w:ilvl w:val="1"/>
          <w:numId w:val="18"/>
        </w:numPr>
        <w:spacing w:after="120"/>
        <w:ind w:right="-180"/>
        <w:jc w:val="both"/>
        <w:rPr>
          <w:rFonts w:cs="Arial"/>
          <w:sz w:val="20"/>
        </w:rPr>
      </w:pPr>
      <w:r w:rsidRPr="00D2421C">
        <w:rPr>
          <w:rFonts w:cs="Arial"/>
          <w:sz w:val="20"/>
        </w:rPr>
        <w:t>Qualifications</w:t>
      </w:r>
    </w:p>
    <w:p w14:paraId="4F21311D" w14:textId="77777777" w:rsidR="00D2421C" w:rsidRPr="00D2421C" w:rsidRDefault="00D2421C" w:rsidP="00D2421C">
      <w:pPr>
        <w:numPr>
          <w:ilvl w:val="1"/>
          <w:numId w:val="18"/>
        </w:numPr>
        <w:spacing w:after="120"/>
        <w:ind w:right="-180"/>
        <w:jc w:val="both"/>
        <w:rPr>
          <w:rFonts w:cs="Arial"/>
          <w:sz w:val="20"/>
        </w:rPr>
      </w:pPr>
      <w:r w:rsidRPr="00D2421C">
        <w:rPr>
          <w:rFonts w:cs="Arial"/>
          <w:sz w:val="20"/>
        </w:rPr>
        <w:t>Relevant experience</w:t>
      </w:r>
    </w:p>
    <w:p w14:paraId="4765F209" w14:textId="77777777" w:rsidR="00D2421C" w:rsidRPr="00D2421C" w:rsidRDefault="00D2421C" w:rsidP="00D2421C">
      <w:pPr>
        <w:numPr>
          <w:ilvl w:val="1"/>
          <w:numId w:val="18"/>
        </w:numPr>
        <w:spacing w:after="120"/>
        <w:ind w:right="-180"/>
        <w:jc w:val="both"/>
        <w:rPr>
          <w:rFonts w:cs="Arial"/>
          <w:sz w:val="20"/>
        </w:rPr>
      </w:pPr>
      <w:r w:rsidRPr="00D2421C">
        <w:rPr>
          <w:rFonts w:cs="Arial"/>
          <w:sz w:val="20"/>
        </w:rPr>
        <w:t>Project schedule</w:t>
      </w:r>
    </w:p>
    <w:p w14:paraId="2D032E91" w14:textId="77777777" w:rsidR="00D2421C" w:rsidRPr="00D2421C" w:rsidRDefault="00D2421C" w:rsidP="00D2421C">
      <w:pPr>
        <w:spacing w:after="120"/>
        <w:ind w:right="-180"/>
        <w:jc w:val="both"/>
        <w:rPr>
          <w:rFonts w:cs="Arial"/>
          <w:sz w:val="20"/>
        </w:rPr>
      </w:pPr>
      <w:r w:rsidRPr="00D2421C">
        <w:rPr>
          <w:rFonts w:cs="Arial"/>
          <w:sz w:val="20"/>
        </w:rPr>
        <w:t xml:space="preserve">Only the top scored proposals that meet all of RTA's Phase One criteria will be invited to submit their best price in </w:t>
      </w:r>
      <w:r w:rsidRPr="00D2421C">
        <w:rPr>
          <w:rFonts w:cs="Arial"/>
          <w:b/>
          <w:bCs/>
          <w:sz w:val="20"/>
        </w:rPr>
        <w:t>Phase Two.</w:t>
      </w:r>
    </w:p>
    <w:p w14:paraId="6E1E4EB5" w14:textId="77777777" w:rsidR="00D2421C" w:rsidRPr="00D2421C" w:rsidRDefault="00D2421C" w:rsidP="00D2421C">
      <w:pPr>
        <w:numPr>
          <w:ilvl w:val="0"/>
          <w:numId w:val="19"/>
        </w:numPr>
        <w:spacing w:after="120"/>
        <w:ind w:right="-180"/>
        <w:rPr>
          <w:rFonts w:cs="Arial"/>
          <w:sz w:val="20"/>
        </w:rPr>
      </w:pPr>
      <w:r w:rsidRPr="00D2421C">
        <w:rPr>
          <w:rFonts w:cs="Arial"/>
          <w:b/>
          <w:bCs/>
          <w:sz w:val="20"/>
        </w:rPr>
        <w:lastRenderedPageBreak/>
        <w:t>Phase Two – Pricing Evaluation</w:t>
      </w:r>
      <w:r w:rsidRPr="00D2421C">
        <w:rPr>
          <w:rFonts w:cs="Arial"/>
          <w:sz w:val="20"/>
        </w:rPr>
        <w:br/>
        <w:t xml:space="preserve">Shortlisted proposers from Phase One will be </w:t>
      </w:r>
      <w:r w:rsidRPr="00D2421C">
        <w:rPr>
          <w:rFonts w:cs="Arial"/>
          <w:b/>
          <w:bCs/>
          <w:sz w:val="20"/>
        </w:rPr>
        <w:t>invited</w:t>
      </w:r>
      <w:r w:rsidRPr="00D2421C">
        <w:rPr>
          <w:rFonts w:cs="Arial"/>
          <w:sz w:val="20"/>
        </w:rPr>
        <w:t xml:space="preserve"> to submit their best price.</w:t>
      </w:r>
    </w:p>
    <w:p w14:paraId="1BBE7463" w14:textId="77777777" w:rsidR="00D2421C" w:rsidRPr="00D2421C" w:rsidRDefault="00D2421C" w:rsidP="00D2421C">
      <w:pPr>
        <w:spacing w:after="120"/>
        <w:ind w:right="-180"/>
        <w:jc w:val="both"/>
        <w:rPr>
          <w:rFonts w:cs="Arial"/>
          <w:sz w:val="20"/>
        </w:rPr>
      </w:pPr>
      <w:r w:rsidRPr="00D2421C">
        <w:rPr>
          <w:rFonts w:cs="Arial"/>
          <w:sz w:val="20"/>
        </w:rPr>
        <w:t>RTA intends to award a single contract to one qualified proposer capable of furnishing and installing a complete, fully operational garage door system that meets all of RTA's design, operational, and performance requirements.</w:t>
      </w:r>
    </w:p>
    <w:p w14:paraId="7483AC8A" w14:textId="77777777" w:rsidR="00D2421C" w:rsidRPr="00D2421C" w:rsidRDefault="00D2421C" w:rsidP="00D2421C">
      <w:pPr>
        <w:spacing w:after="120"/>
        <w:ind w:right="-180"/>
        <w:jc w:val="both"/>
        <w:rPr>
          <w:rFonts w:cs="Arial"/>
          <w:sz w:val="20"/>
        </w:rPr>
      </w:pPr>
      <w:r w:rsidRPr="00D2421C">
        <w:rPr>
          <w:rFonts w:cs="Arial"/>
          <w:b/>
          <w:bCs/>
          <w:sz w:val="20"/>
        </w:rPr>
        <w:t>The scope of work</w:t>
      </w:r>
      <w:r w:rsidRPr="00D2421C">
        <w:rPr>
          <w:rFonts w:cs="Arial"/>
          <w:sz w:val="20"/>
        </w:rPr>
        <w:t xml:space="preserve"> shall include, but is not limited to, the complete demolition and proper disposal of existing door systems; modification or reframing of existing openings as required; and the furnishing, installation, testing, and commissioning of new entrance and exit doors. The contractor shall provide all labor, materials, equipment, and services necessary to deliver a fully functional system, including but not limited to electrical work, structural steel modifications, concrete work, controls integration, and all ancillary work. </w:t>
      </w:r>
      <w:r w:rsidRPr="00D2421C">
        <w:rPr>
          <w:rFonts w:cs="Arial"/>
          <w:b/>
          <w:bCs/>
          <w:sz w:val="20"/>
        </w:rPr>
        <w:t xml:space="preserve">This project is subject to Ohio prevailing wage requirements. </w:t>
      </w:r>
    </w:p>
    <w:p w14:paraId="7A7F1B45" w14:textId="77777777" w:rsidR="00D2421C" w:rsidRPr="00D2421C" w:rsidRDefault="00D2421C" w:rsidP="00D2421C">
      <w:pPr>
        <w:spacing w:after="120"/>
        <w:ind w:right="-180"/>
        <w:jc w:val="both"/>
        <w:rPr>
          <w:rFonts w:cs="Arial"/>
          <w:sz w:val="20"/>
        </w:rPr>
      </w:pPr>
      <w:r w:rsidRPr="00D2421C">
        <w:rPr>
          <w:rFonts w:cs="Arial"/>
          <w:b/>
          <w:bCs/>
          <w:sz w:val="20"/>
        </w:rPr>
        <w:t>The existing garage doors</w:t>
      </w:r>
      <w:r w:rsidRPr="00D2421C">
        <w:rPr>
          <w:rFonts w:cs="Arial"/>
          <w:sz w:val="20"/>
        </w:rPr>
        <w:t xml:space="preserve"> consist of top-hung, top-driven, bi-parting steel doors with bottom guide rollers, operated by OSCO Model GSL bi-parting door operators. Although the original manufacturer of the doors is unknown, the bi-parting configuration has demonstrated long-term reliability and suitability for high-volume transit bus operations, having been in service for approximately fifty (50) years. Each door set (entrance and exit) operates on a standard cycle time of approximately fifteen (15) seconds to open, a thirty (30) second open dwell, and fifteen (15) seconds to close. There are approximately 250 to 300 cycles per day, per door set, or approximately 110,000 cycles annually per door set. The existing doors are powered by 480-volt, three-phase electrical service and are connected to RTA’s emergency backup generator system. The proposed replacement door system </w:t>
      </w:r>
      <w:proofErr w:type="gramStart"/>
      <w:r w:rsidRPr="00D2421C">
        <w:rPr>
          <w:rFonts w:cs="Arial"/>
          <w:sz w:val="20"/>
        </w:rPr>
        <w:t>shall</w:t>
      </w:r>
      <w:proofErr w:type="gramEnd"/>
      <w:r w:rsidRPr="00D2421C">
        <w:rPr>
          <w:rFonts w:cs="Arial"/>
          <w:sz w:val="20"/>
        </w:rPr>
        <w:t xml:space="preserve"> retain a bi-parting configuration or provide an equivalent, proven system suitable for transit applications; be designed to meet or exceed the existing operational cycle demands; operate on 480-volt, three-phase power; and fully integrate with RTA’s emergency backup generator to ensure continuous operation during power outages.</w:t>
      </w:r>
    </w:p>
    <w:p w14:paraId="648BF2B1" w14:textId="0912C6F0" w:rsidR="00D2421C" w:rsidRPr="00D2421C" w:rsidRDefault="00D2421C" w:rsidP="00D2421C">
      <w:pPr>
        <w:spacing w:after="120"/>
        <w:ind w:right="-180"/>
        <w:jc w:val="both"/>
        <w:rPr>
          <w:rFonts w:cs="Arial"/>
          <w:b/>
          <w:bCs/>
          <w:sz w:val="20"/>
          <w:u w:val="single"/>
        </w:rPr>
      </w:pPr>
      <w:r w:rsidRPr="00D2421C">
        <w:rPr>
          <w:rFonts w:cs="Arial"/>
          <w:sz w:val="20"/>
        </w:rPr>
        <w:t> </w:t>
      </w:r>
    </w:p>
    <w:p w14:paraId="14D4E431" w14:textId="7DE8BC47" w:rsidR="00D2421C" w:rsidRPr="00D2421C" w:rsidRDefault="00D2421C" w:rsidP="00D2421C">
      <w:pPr>
        <w:spacing w:after="120"/>
        <w:ind w:right="-180"/>
        <w:jc w:val="both"/>
        <w:rPr>
          <w:rFonts w:cs="Arial"/>
          <w:sz w:val="20"/>
        </w:rPr>
      </w:pPr>
      <w:r w:rsidRPr="00D2421C">
        <w:rPr>
          <w:rFonts w:cs="Arial"/>
          <w:b/>
          <w:bCs/>
          <w:sz w:val="20"/>
          <w:u w:val="single"/>
        </w:rPr>
        <w:t>NEW GARAGE DOOR REQUIREMENTS – ENTRANCE AND EXIT DOORS</w:t>
      </w:r>
    </w:p>
    <w:p w14:paraId="4642FA40" w14:textId="77777777" w:rsidR="00D2421C" w:rsidRPr="00D2421C" w:rsidRDefault="00D2421C" w:rsidP="00D2421C">
      <w:pPr>
        <w:spacing w:after="120"/>
        <w:ind w:right="-180"/>
        <w:jc w:val="both"/>
        <w:rPr>
          <w:rFonts w:cs="Arial"/>
          <w:sz w:val="20"/>
        </w:rPr>
      </w:pPr>
      <w:r w:rsidRPr="00D2421C">
        <w:rPr>
          <w:rFonts w:cs="Arial"/>
          <w:sz w:val="20"/>
        </w:rPr>
        <w:t>1. Must be able to handle up to 300 cycles per day or 110,000 per year</w:t>
      </w:r>
    </w:p>
    <w:p w14:paraId="128749E9" w14:textId="77777777" w:rsidR="00D2421C" w:rsidRPr="00D2421C" w:rsidRDefault="00D2421C" w:rsidP="00D2421C">
      <w:pPr>
        <w:spacing w:after="120"/>
        <w:ind w:right="-180"/>
        <w:jc w:val="both"/>
        <w:rPr>
          <w:rFonts w:cs="Arial"/>
          <w:sz w:val="20"/>
        </w:rPr>
      </w:pPr>
      <w:r w:rsidRPr="00D2421C">
        <w:rPr>
          <w:rFonts w:cs="Arial"/>
          <w:sz w:val="20"/>
        </w:rPr>
        <w:t>2. Must be able to open within 15 seconds and close within 15 seconds</w:t>
      </w:r>
    </w:p>
    <w:p w14:paraId="6B2B2F42" w14:textId="77777777" w:rsidR="00D2421C" w:rsidRPr="00D2421C" w:rsidRDefault="00D2421C" w:rsidP="00D2421C">
      <w:pPr>
        <w:spacing w:after="120"/>
        <w:ind w:right="-180"/>
        <w:jc w:val="both"/>
        <w:rPr>
          <w:rFonts w:cs="Arial"/>
          <w:sz w:val="20"/>
        </w:rPr>
      </w:pPr>
      <w:r w:rsidRPr="00D2421C">
        <w:rPr>
          <w:rFonts w:cs="Arial"/>
          <w:sz w:val="20"/>
        </w:rPr>
        <w:t>3. Must be able to be programmed to stay open between 10 seconds and 3 minutes</w:t>
      </w:r>
    </w:p>
    <w:p w14:paraId="72C0D8FB" w14:textId="77777777" w:rsidR="00D2421C" w:rsidRPr="00D2421C" w:rsidRDefault="00D2421C" w:rsidP="00D2421C">
      <w:pPr>
        <w:spacing w:after="120"/>
        <w:ind w:right="-180"/>
        <w:jc w:val="both"/>
        <w:rPr>
          <w:rFonts w:cs="Arial"/>
          <w:sz w:val="20"/>
        </w:rPr>
      </w:pPr>
      <w:r w:rsidRPr="00D2421C">
        <w:rPr>
          <w:rFonts w:cs="Arial"/>
          <w:sz w:val="20"/>
        </w:rPr>
        <w:t>4. Must be connected to electric eyes, such that if a bus or vehicle is within the eyes, the door stays open and resets the closing timer</w:t>
      </w:r>
    </w:p>
    <w:p w14:paraId="6B510580" w14:textId="77777777" w:rsidR="00D2421C" w:rsidRPr="00D2421C" w:rsidRDefault="00D2421C" w:rsidP="00D2421C">
      <w:pPr>
        <w:spacing w:after="120"/>
        <w:ind w:right="-180"/>
        <w:jc w:val="both"/>
        <w:rPr>
          <w:rFonts w:cs="Arial"/>
          <w:sz w:val="20"/>
        </w:rPr>
      </w:pPr>
      <w:r w:rsidRPr="00D2421C">
        <w:rPr>
          <w:rFonts w:cs="Arial"/>
          <w:sz w:val="20"/>
        </w:rPr>
        <w:t>5. Must have seals on bottom, top and sides of each door</w:t>
      </w:r>
    </w:p>
    <w:p w14:paraId="1E4CE422" w14:textId="77777777" w:rsidR="00D2421C" w:rsidRPr="00D2421C" w:rsidRDefault="00D2421C" w:rsidP="00D2421C">
      <w:pPr>
        <w:spacing w:after="120"/>
        <w:ind w:right="-180"/>
        <w:jc w:val="both"/>
        <w:rPr>
          <w:rFonts w:cs="Arial"/>
          <w:sz w:val="20"/>
        </w:rPr>
      </w:pPr>
      <w:r w:rsidRPr="00D2421C">
        <w:rPr>
          <w:rFonts w:cs="Arial"/>
          <w:sz w:val="20"/>
        </w:rPr>
        <w:t>6. Must have electric safety edge</w:t>
      </w:r>
    </w:p>
    <w:p w14:paraId="06D89DBC" w14:textId="77777777" w:rsidR="00D2421C" w:rsidRPr="00D2421C" w:rsidRDefault="00D2421C" w:rsidP="00D2421C">
      <w:pPr>
        <w:spacing w:after="120"/>
        <w:ind w:right="-180"/>
        <w:jc w:val="both"/>
        <w:rPr>
          <w:rFonts w:cs="Arial"/>
          <w:sz w:val="20"/>
        </w:rPr>
      </w:pPr>
      <w:r w:rsidRPr="00D2421C">
        <w:rPr>
          <w:rFonts w:cs="Arial"/>
          <w:sz w:val="20"/>
        </w:rPr>
        <w:t>7. Must be 480 3phase, unless approved otherwise</w:t>
      </w:r>
    </w:p>
    <w:p w14:paraId="3F27DD4F" w14:textId="77777777" w:rsidR="00D2421C" w:rsidRPr="00D2421C" w:rsidRDefault="00D2421C" w:rsidP="00D2421C">
      <w:pPr>
        <w:spacing w:after="120"/>
        <w:ind w:right="-180"/>
        <w:jc w:val="both"/>
        <w:rPr>
          <w:rFonts w:cs="Arial"/>
          <w:sz w:val="20"/>
        </w:rPr>
      </w:pPr>
      <w:r w:rsidRPr="00D2421C">
        <w:rPr>
          <w:rFonts w:cs="Arial"/>
          <w:sz w:val="20"/>
        </w:rPr>
        <w:t>8. Can be driven from the top of the doors or the bottom of the doors</w:t>
      </w:r>
    </w:p>
    <w:p w14:paraId="7761F963" w14:textId="77777777" w:rsidR="00D2421C" w:rsidRPr="00D2421C" w:rsidRDefault="00D2421C" w:rsidP="00D2421C">
      <w:pPr>
        <w:spacing w:after="120"/>
        <w:ind w:right="-180"/>
        <w:jc w:val="both"/>
        <w:rPr>
          <w:rFonts w:cs="Arial"/>
          <w:sz w:val="20"/>
        </w:rPr>
      </w:pPr>
      <w:r w:rsidRPr="00D2421C">
        <w:rPr>
          <w:rFonts w:cs="Arial"/>
          <w:sz w:val="20"/>
        </w:rPr>
        <w:t>9. Must have windows to allow natural light into the building</w:t>
      </w:r>
    </w:p>
    <w:p w14:paraId="04A93511" w14:textId="77777777" w:rsidR="00D2421C" w:rsidRPr="00D2421C" w:rsidRDefault="00D2421C" w:rsidP="00D2421C">
      <w:pPr>
        <w:spacing w:after="120"/>
        <w:ind w:right="-180"/>
        <w:jc w:val="both"/>
        <w:rPr>
          <w:rFonts w:cs="Arial"/>
          <w:sz w:val="20"/>
        </w:rPr>
      </w:pPr>
      <w:r w:rsidRPr="00D2421C">
        <w:rPr>
          <w:rFonts w:cs="Arial"/>
          <w:sz w:val="20"/>
        </w:rPr>
        <w:t>10. Must maintain parts availability for at least 25 years</w:t>
      </w:r>
    </w:p>
    <w:p w14:paraId="6A658871" w14:textId="6A141C80" w:rsidR="00D2421C" w:rsidRPr="00D2421C" w:rsidRDefault="00D2421C" w:rsidP="00D2421C">
      <w:pPr>
        <w:spacing w:after="120"/>
        <w:ind w:right="-180"/>
        <w:jc w:val="both"/>
        <w:rPr>
          <w:rFonts w:cs="Arial"/>
          <w:sz w:val="20"/>
        </w:rPr>
      </w:pPr>
      <w:r w:rsidRPr="00D2421C">
        <w:rPr>
          <w:rFonts w:cs="Arial"/>
          <w:sz w:val="20"/>
        </w:rPr>
        <w:t>11.</w:t>
      </w:r>
      <w:r w:rsidRPr="00D2421C">
        <w:rPr>
          <w:rFonts w:cs="Arial"/>
          <w:sz w:val="20"/>
        </w:rPr>
        <w:t>T</w:t>
      </w:r>
      <w:r w:rsidRPr="00D2421C">
        <w:rPr>
          <w:rFonts w:cs="Arial"/>
          <w:sz w:val="20"/>
        </w:rPr>
        <w:t xml:space="preserve">he door exterior shall be painted a medium </w:t>
      </w:r>
      <w:proofErr w:type="gramStart"/>
      <w:r w:rsidRPr="00D2421C">
        <w:rPr>
          <w:rFonts w:cs="Arial"/>
          <w:sz w:val="20"/>
        </w:rPr>
        <w:t>brown</w:t>
      </w:r>
      <w:proofErr w:type="gramEnd"/>
      <w:r w:rsidRPr="00D2421C">
        <w:rPr>
          <w:rFonts w:cs="Arial"/>
          <w:sz w:val="20"/>
        </w:rPr>
        <w:t xml:space="preserve"> and the interior shall be painted safety yellow.  RTA will supply the paint color numbers and paint manufacturer. The contractor will paint a couple samples for RTA to approve prior to the final paint being selected.</w:t>
      </w:r>
    </w:p>
    <w:p w14:paraId="54304AE4" w14:textId="77777777" w:rsidR="00D2421C" w:rsidRPr="00D2421C" w:rsidRDefault="00D2421C" w:rsidP="00D2421C">
      <w:pPr>
        <w:spacing w:after="120"/>
        <w:ind w:right="-180"/>
        <w:jc w:val="both"/>
        <w:rPr>
          <w:rFonts w:cs="Arial"/>
          <w:sz w:val="20"/>
        </w:rPr>
      </w:pPr>
      <w:r w:rsidRPr="00D2421C">
        <w:rPr>
          <w:rFonts w:cs="Arial"/>
          <w:sz w:val="20"/>
        </w:rPr>
        <w:t>12. Must be consistent with the detailed drawing included with this RFP, unless otherwise approved.</w:t>
      </w:r>
    </w:p>
    <w:p w14:paraId="5BB5DF9F" w14:textId="77777777" w:rsidR="00D2421C" w:rsidRPr="00D2421C" w:rsidRDefault="00D2421C" w:rsidP="00D2421C">
      <w:pPr>
        <w:spacing w:after="120"/>
        <w:ind w:right="-180"/>
        <w:jc w:val="both"/>
        <w:rPr>
          <w:rFonts w:cs="Arial"/>
          <w:sz w:val="20"/>
        </w:rPr>
      </w:pPr>
      <w:r w:rsidRPr="00D2421C">
        <w:rPr>
          <w:rFonts w:cs="Arial"/>
          <w:sz w:val="20"/>
        </w:rPr>
        <w:t>13. Must include detailed drawings, operational manuals, electrical schematics and parts manuals, all in electronic format and three (3) paper copies of all materials.</w:t>
      </w:r>
    </w:p>
    <w:p w14:paraId="6B50CBF2" w14:textId="77777777" w:rsidR="00D2421C" w:rsidRPr="00D2421C" w:rsidRDefault="00D2421C" w:rsidP="00D2421C">
      <w:pPr>
        <w:spacing w:after="120"/>
        <w:ind w:right="-180"/>
        <w:jc w:val="both"/>
        <w:rPr>
          <w:rFonts w:cs="Arial"/>
          <w:sz w:val="20"/>
        </w:rPr>
      </w:pPr>
      <w:r w:rsidRPr="00D2421C">
        <w:rPr>
          <w:rFonts w:cs="Arial"/>
          <w:b/>
          <w:bCs/>
          <w:sz w:val="20"/>
        </w:rPr>
        <w:t>*There are two (2) videos and several pictures of the doors in the ATTACHMENTS section of this solicitation for a visual reference.</w:t>
      </w:r>
    </w:p>
    <w:p w14:paraId="15AD066B" w14:textId="77777777" w:rsidR="00D2421C" w:rsidRPr="00D2421C" w:rsidRDefault="00D2421C" w:rsidP="00D2421C">
      <w:pPr>
        <w:spacing w:after="120"/>
        <w:ind w:right="-180"/>
        <w:jc w:val="both"/>
        <w:rPr>
          <w:rFonts w:cs="Arial"/>
          <w:sz w:val="20"/>
        </w:rPr>
      </w:pPr>
      <w:r w:rsidRPr="00D2421C">
        <w:rPr>
          <w:rFonts w:cs="Arial"/>
          <w:b/>
          <w:bCs/>
          <w:sz w:val="20"/>
        </w:rPr>
        <w:t>*Drawing with dimensions in the ATTACHMENTS section of this solicitation.</w:t>
      </w:r>
    </w:p>
    <w:p w14:paraId="29DBE1F5" w14:textId="77777777" w:rsidR="00D2421C" w:rsidRPr="00D2421C" w:rsidRDefault="00D2421C" w:rsidP="00D2421C">
      <w:pPr>
        <w:spacing w:after="120"/>
        <w:ind w:right="-180"/>
        <w:jc w:val="both"/>
        <w:rPr>
          <w:rFonts w:cs="Arial"/>
          <w:sz w:val="20"/>
        </w:rPr>
      </w:pPr>
      <w:r w:rsidRPr="00D2421C">
        <w:rPr>
          <w:rFonts w:cs="Arial"/>
          <w:sz w:val="20"/>
        </w:rPr>
        <w:lastRenderedPageBreak/>
        <w:t> </w:t>
      </w:r>
    </w:p>
    <w:p w14:paraId="7378387C" w14:textId="77777777" w:rsidR="00D2421C" w:rsidRPr="00D2421C" w:rsidRDefault="00D2421C" w:rsidP="00D2421C">
      <w:pPr>
        <w:spacing w:after="120"/>
        <w:ind w:right="-180"/>
        <w:jc w:val="both"/>
        <w:rPr>
          <w:rFonts w:cs="Arial"/>
          <w:sz w:val="20"/>
        </w:rPr>
      </w:pPr>
      <w:r w:rsidRPr="00D2421C">
        <w:rPr>
          <w:rFonts w:cs="Arial"/>
          <w:b/>
          <w:bCs/>
          <w:sz w:val="20"/>
          <w:u w:val="single"/>
        </w:rPr>
        <w:t>CONTRACTOR QUALIFICATIONS</w:t>
      </w:r>
    </w:p>
    <w:p w14:paraId="661BEDFF" w14:textId="77777777" w:rsidR="00D2421C" w:rsidRPr="00D2421C" w:rsidRDefault="00D2421C" w:rsidP="00D2421C">
      <w:pPr>
        <w:spacing w:after="120"/>
        <w:ind w:right="-180"/>
        <w:jc w:val="both"/>
        <w:rPr>
          <w:rFonts w:cs="Arial"/>
          <w:sz w:val="20"/>
        </w:rPr>
      </w:pPr>
      <w:r w:rsidRPr="00D2421C">
        <w:rPr>
          <w:rFonts w:cs="Arial"/>
          <w:sz w:val="20"/>
        </w:rPr>
        <w:t xml:space="preserve">1. The awarded vendor, contractor or manufacturer should have </w:t>
      </w:r>
      <w:r w:rsidRPr="00D2421C">
        <w:rPr>
          <w:rFonts w:cs="Arial"/>
          <w:b/>
          <w:bCs/>
          <w:sz w:val="20"/>
        </w:rPr>
        <w:t>at least 15 years of experience in the design or manufacturing and complete installation of large bi-parting garage doors.</w:t>
      </w:r>
    </w:p>
    <w:p w14:paraId="588640B4" w14:textId="77777777" w:rsidR="00D2421C" w:rsidRPr="00D2421C" w:rsidRDefault="00D2421C" w:rsidP="00D2421C">
      <w:pPr>
        <w:spacing w:after="120"/>
        <w:ind w:right="-180"/>
        <w:jc w:val="both"/>
        <w:rPr>
          <w:rFonts w:cs="Arial"/>
          <w:sz w:val="20"/>
        </w:rPr>
      </w:pPr>
      <w:r w:rsidRPr="00D2421C">
        <w:rPr>
          <w:rFonts w:cs="Arial"/>
          <w:b/>
          <w:bCs/>
          <w:sz w:val="20"/>
          <w:u w:val="single"/>
        </w:rPr>
        <w:t>ON-SITE ELECTRICAL WORK</w:t>
      </w:r>
    </w:p>
    <w:p w14:paraId="316D16E7" w14:textId="77777777" w:rsidR="00D2421C" w:rsidRPr="00D2421C" w:rsidRDefault="00D2421C" w:rsidP="00D2421C">
      <w:pPr>
        <w:spacing w:after="120"/>
        <w:ind w:right="-180"/>
        <w:jc w:val="both"/>
        <w:rPr>
          <w:rFonts w:cs="Arial"/>
          <w:sz w:val="20"/>
        </w:rPr>
      </w:pPr>
      <w:r w:rsidRPr="00D2421C">
        <w:rPr>
          <w:rFonts w:cs="Arial"/>
          <w:sz w:val="20"/>
        </w:rPr>
        <w:t>1. Any required electrical work shall be the responsibility of the awarded vendor/contractor.</w:t>
      </w:r>
    </w:p>
    <w:p w14:paraId="411469C5" w14:textId="77777777" w:rsidR="00D2421C" w:rsidRPr="00D2421C" w:rsidRDefault="00D2421C" w:rsidP="00D2421C">
      <w:pPr>
        <w:spacing w:after="120"/>
        <w:ind w:right="-180"/>
        <w:jc w:val="both"/>
        <w:rPr>
          <w:rFonts w:cs="Arial"/>
          <w:sz w:val="20"/>
        </w:rPr>
      </w:pPr>
      <w:r w:rsidRPr="00D2421C">
        <w:rPr>
          <w:rFonts w:cs="Arial"/>
          <w:sz w:val="20"/>
        </w:rPr>
        <w:t>2. If requested, RTA will work with the awarded contractor to help coordinate the required electrical work through a local qualified electrical contractor.</w:t>
      </w:r>
    </w:p>
    <w:p w14:paraId="472A79D7" w14:textId="77777777" w:rsidR="00D2421C" w:rsidRPr="00D2421C" w:rsidRDefault="00D2421C" w:rsidP="00D2421C">
      <w:pPr>
        <w:spacing w:after="120"/>
        <w:ind w:right="-180"/>
        <w:jc w:val="both"/>
        <w:rPr>
          <w:rFonts w:cs="Arial"/>
          <w:sz w:val="20"/>
        </w:rPr>
      </w:pPr>
      <w:r w:rsidRPr="00D2421C">
        <w:rPr>
          <w:rFonts w:cs="Arial"/>
          <w:b/>
          <w:bCs/>
          <w:sz w:val="20"/>
          <w:u w:val="single"/>
        </w:rPr>
        <w:t>ON-SITE STRUCTURAL STEEL WORK</w:t>
      </w:r>
    </w:p>
    <w:p w14:paraId="43910DB0" w14:textId="77777777" w:rsidR="00D2421C" w:rsidRPr="00D2421C" w:rsidRDefault="00D2421C" w:rsidP="00D2421C">
      <w:pPr>
        <w:spacing w:after="120"/>
        <w:ind w:right="-180"/>
        <w:jc w:val="both"/>
        <w:rPr>
          <w:rFonts w:cs="Arial"/>
          <w:sz w:val="20"/>
        </w:rPr>
      </w:pPr>
      <w:r w:rsidRPr="00D2421C">
        <w:rPr>
          <w:rFonts w:cs="Arial"/>
          <w:sz w:val="20"/>
        </w:rPr>
        <w:t>1. Any required structural work shall be the responsibility of the awarded vendor/contractor.</w:t>
      </w:r>
    </w:p>
    <w:p w14:paraId="2EC6F7F3" w14:textId="77777777" w:rsidR="00D2421C" w:rsidRPr="00D2421C" w:rsidRDefault="00D2421C" w:rsidP="00D2421C">
      <w:pPr>
        <w:spacing w:after="120"/>
        <w:ind w:right="-180"/>
        <w:jc w:val="both"/>
        <w:rPr>
          <w:rFonts w:cs="Arial"/>
          <w:sz w:val="20"/>
        </w:rPr>
      </w:pPr>
      <w:r w:rsidRPr="00D2421C">
        <w:rPr>
          <w:rFonts w:cs="Arial"/>
          <w:sz w:val="20"/>
        </w:rPr>
        <w:t>2. This project will require some structural steel work to have the door opening closed completely. There is an opening at the top of the door frame for both the entrance and exit locations where trolley wire used to exist in and out of the facility.</w:t>
      </w:r>
    </w:p>
    <w:p w14:paraId="2222E50B" w14:textId="77777777" w:rsidR="00D2421C" w:rsidRPr="00D2421C" w:rsidRDefault="00D2421C" w:rsidP="00D2421C">
      <w:pPr>
        <w:spacing w:after="120"/>
        <w:ind w:right="-180"/>
        <w:jc w:val="both"/>
        <w:rPr>
          <w:rFonts w:cs="Arial"/>
          <w:sz w:val="20"/>
        </w:rPr>
      </w:pPr>
      <w:r w:rsidRPr="00D2421C">
        <w:rPr>
          <w:rFonts w:cs="Arial"/>
          <w:sz w:val="20"/>
        </w:rPr>
        <w:t>3. If requested, RTA will work with the awarded contractor to help coordinate the required structural work through a local construction company.</w:t>
      </w:r>
    </w:p>
    <w:p w14:paraId="2FB9A094" w14:textId="77777777" w:rsidR="00D2421C" w:rsidRPr="00D2421C" w:rsidRDefault="00D2421C" w:rsidP="00D2421C">
      <w:pPr>
        <w:spacing w:after="120"/>
        <w:ind w:right="-180"/>
        <w:jc w:val="both"/>
        <w:rPr>
          <w:rFonts w:cs="Arial"/>
          <w:sz w:val="20"/>
        </w:rPr>
      </w:pPr>
      <w:r w:rsidRPr="00D2421C">
        <w:rPr>
          <w:rFonts w:cs="Arial"/>
          <w:b/>
          <w:bCs/>
          <w:sz w:val="20"/>
          <w:u w:val="single"/>
        </w:rPr>
        <w:t>ON-SITE CONCRETE – RAIL WORK – (OPTIONAL)</w:t>
      </w:r>
    </w:p>
    <w:p w14:paraId="7F520F79" w14:textId="77777777" w:rsidR="00D2421C" w:rsidRPr="00D2421C" w:rsidRDefault="00D2421C" w:rsidP="00D2421C">
      <w:pPr>
        <w:spacing w:after="120"/>
        <w:ind w:right="-180"/>
        <w:jc w:val="both"/>
        <w:rPr>
          <w:rFonts w:cs="Arial"/>
          <w:sz w:val="20"/>
        </w:rPr>
      </w:pPr>
      <w:r w:rsidRPr="00D2421C">
        <w:rPr>
          <w:rFonts w:cs="Arial"/>
          <w:sz w:val="20"/>
        </w:rPr>
        <w:t>1. This project may require the replacement of the steel rail that the door rolls on. This steel was replaced about 4 years ago, but there is some rust that could have compromised the steel.</w:t>
      </w:r>
    </w:p>
    <w:p w14:paraId="0A28A0A1" w14:textId="77777777" w:rsidR="00D2421C" w:rsidRPr="00D2421C" w:rsidRDefault="00D2421C" w:rsidP="00D2421C">
      <w:pPr>
        <w:spacing w:after="120"/>
        <w:ind w:right="-180"/>
        <w:jc w:val="both"/>
        <w:rPr>
          <w:rFonts w:cs="Arial"/>
          <w:sz w:val="20"/>
        </w:rPr>
      </w:pPr>
      <w:r w:rsidRPr="00D2421C">
        <w:rPr>
          <w:rFonts w:cs="Arial"/>
          <w:sz w:val="20"/>
        </w:rPr>
        <w:t>2. If it is determined that this rail needs to be replaced, it shall be replaced with hot dipped galvanized steel.</w:t>
      </w:r>
    </w:p>
    <w:p w14:paraId="53A6E3C7" w14:textId="77777777" w:rsidR="00D2421C" w:rsidRPr="00D2421C" w:rsidRDefault="00D2421C" w:rsidP="00D2421C">
      <w:pPr>
        <w:spacing w:after="120"/>
        <w:ind w:right="-180"/>
        <w:jc w:val="both"/>
        <w:rPr>
          <w:rFonts w:cs="Arial"/>
          <w:sz w:val="20"/>
        </w:rPr>
      </w:pPr>
      <w:r w:rsidRPr="00D2421C">
        <w:rPr>
          <w:rFonts w:cs="Arial"/>
          <w:sz w:val="20"/>
        </w:rPr>
        <w:t xml:space="preserve">3. This item shall be priced as an option </w:t>
      </w:r>
      <w:proofErr w:type="gramStart"/>
      <w:r w:rsidRPr="00D2421C">
        <w:rPr>
          <w:rFonts w:cs="Arial"/>
          <w:sz w:val="20"/>
        </w:rPr>
        <w:t>of</w:t>
      </w:r>
      <w:proofErr w:type="gramEnd"/>
      <w:r w:rsidRPr="00D2421C">
        <w:rPr>
          <w:rFonts w:cs="Arial"/>
          <w:sz w:val="20"/>
        </w:rPr>
        <w:t xml:space="preserve"> the bid sheet.</w:t>
      </w:r>
    </w:p>
    <w:p w14:paraId="447D3856" w14:textId="77777777" w:rsidR="00D2421C" w:rsidRPr="00D2421C" w:rsidRDefault="00D2421C" w:rsidP="00D2421C">
      <w:pPr>
        <w:spacing w:after="120"/>
        <w:ind w:right="-180"/>
        <w:jc w:val="both"/>
        <w:rPr>
          <w:rFonts w:cs="Arial"/>
          <w:sz w:val="20"/>
        </w:rPr>
      </w:pPr>
      <w:r w:rsidRPr="00D2421C">
        <w:rPr>
          <w:rFonts w:cs="Arial"/>
          <w:b/>
          <w:bCs/>
          <w:sz w:val="20"/>
          <w:u w:val="single"/>
        </w:rPr>
        <w:t>SOFTWARE</w:t>
      </w:r>
    </w:p>
    <w:p w14:paraId="12E71C6D" w14:textId="77777777" w:rsidR="00D2421C" w:rsidRPr="00D2421C" w:rsidRDefault="00D2421C" w:rsidP="00D2421C">
      <w:pPr>
        <w:spacing w:after="120"/>
        <w:ind w:right="-180"/>
        <w:jc w:val="both"/>
        <w:rPr>
          <w:rFonts w:cs="Arial"/>
          <w:sz w:val="20"/>
        </w:rPr>
      </w:pPr>
      <w:r w:rsidRPr="00D2421C">
        <w:rPr>
          <w:rFonts w:cs="Arial"/>
          <w:sz w:val="20"/>
        </w:rPr>
        <w:t>1. Ideally, RTA would like the door system proposed to have some type of computer technology built into it where the software program can assist with troubleshooting and programming of the operational functions and reporting of usage events, which would include date and time of each event. The software shall be included and 5 years of technical support.</w:t>
      </w:r>
    </w:p>
    <w:p w14:paraId="473A4BA0" w14:textId="77777777" w:rsidR="00D2421C" w:rsidRPr="00D2421C" w:rsidRDefault="00D2421C" w:rsidP="00D2421C">
      <w:pPr>
        <w:spacing w:after="120"/>
        <w:ind w:right="-180"/>
        <w:jc w:val="both"/>
        <w:rPr>
          <w:rFonts w:cs="Arial"/>
          <w:sz w:val="20"/>
        </w:rPr>
      </w:pPr>
      <w:r w:rsidRPr="00D2421C">
        <w:rPr>
          <w:rFonts w:cs="Arial"/>
          <w:b/>
          <w:bCs/>
          <w:sz w:val="20"/>
          <w:u w:val="single"/>
        </w:rPr>
        <w:t>ADDITIONAL OR UNFORESEEN WORK</w:t>
      </w:r>
    </w:p>
    <w:p w14:paraId="227424A6" w14:textId="77777777" w:rsidR="00D2421C" w:rsidRPr="00D2421C" w:rsidRDefault="00D2421C" w:rsidP="00D2421C">
      <w:pPr>
        <w:spacing w:after="120"/>
        <w:ind w:right="-180"/>
        <w:jc w:val="both"/>
        <w:rPr>
          <w:rFonts w:cs="Arial"/>
          <w:sz w:val="20"/>
        </w:rPr>
      </w:pPr>
      <w:r w:rsidRPr="00D2421C">
        <w:rPr>
          <w:rFonts w:cs="Arial"/>
          <w:sz w:val="20"/>
        </w:rPr>
        <w:t>Should the successful vendor/contractor find that additional work is required, which was not evident during the RFP process, and was not part of the original proposal, the following shall prevail:</w:t>
      </w:r>
    </w:p>
    <w:p w14:paraId="5CAEC0E1" w14:textId="77777777" w:rsidR="00D2421C" w:rsidRPr="00D2421C" w:rsidRDefault="00D2421C" w:rsidP="00D2421C">
      <w:pPr>
        <w:spacing w:after="120"/>
        <w:ind w:right="-180"/>
        <w:jc w:val="both"/>
        <w:rPr>
          <w:rFonts w:cs="Arial"/>
          <w:sz w:val="20"/>
        </w:rPr>
      </w:pPr>
      <w:r w:rsidRPr="00D2421C">
        <w:rPr>
          <w:rFonts w:cs="Arial"/>
          <w:sz w:val="20"/>
        </w:rPr>
        <w:t>1. The contractor shall provide RTA with a detailed estimate of any additional work required, a breakdown of additional parts and labor, the reason this work is now required and why it was not included in the original proposal. The contractor shall provide photos of the additional work for reference.</w:t>
      </w:r>
    </w:p>
    <w:p w14:paraId="372A6A01" w14:textId="77777777" w:rsidR="00D2421C" w:rsidRPr="00D2421C" w:rsidRDefault="00D2421C" w:rsidP="00D2421C">
      <w:pPr>
        <w:spacing w:after="120"/>
        <w:ind w:right="-180"/>
        <w:jc w:val="both"/>
        <w:rPr>
          <w:rFonts w:cs="Arial"/>
          <w:sz w:val="20"/>
        </w:rPr>
      </w:pPr>
      <w:r w:rsidRPr="00D2421C">
        <w:rPr>
          <w:rFonts w:cs="Arial"/>
          <w:sz w:val="20"/>
        </w:rPr>
        <w:t>2. The RTA shall review the additional work estimate and if it agrees, shall issue written permission and a change order to perform the additional work as outlined in the written estimate.</w:t>
      </w:r>
    </w:p>
    <w:p w14:paraId="71318246" w14:textId="77777777" w:rsidR="00D2421C" w:rsidRPr="00D2421C" w:rsidRDefault="00D2421C" w:rsidP="00D2421C">
      <w:pPr>
        <w:spacing w:after="120"/>
        <w:ind w:right="-180"/>
        <w:jc w:val="both"/>
        <w:rPr>
          <w:rFonts w:cs="Arial"/>
          <w:sz w:val="20"/>
        </w:rPr>
      </w:pPr>
      <w:r w:rsidRPr="00D2421C">
        <w:rPr>
          <w:rFonts w:cs="Arial"/>
          <w:sz w:val="20"/>
        </w:rPr>
        <w:t xml:space="preserve">3. All rates, labor, </w:t>
      </w:r>
      <w:proofErr w:type="gramStart"/>
      <w:r w:rsidRPr="00D2421C">
        <w:rPr>
          <w:rFonts w:cs="Arial"/>
          <w:sz w:val="20"/>
        </w:rPr>
        <w:t>equipment, or</w:t>
      </w:r>
      <w:proofErr w:type="gramEnd"/>
      <w:r w:rsidRPr="00D2421C">
        <w:rPr>
          <w:rFonts w:cs="Arial"/>
          <w:sz w:val="20"/>
        </w:rPr>
        <w:t xml:space="preserve"> other trades or professional services that are required for any additional work shall not exceed the rates provided as part of the original proposal.</w:t>
      </w:r>
    </w:p>
    <w:p w14:paraId="135FB670" w14:textId="77777777" w:rsidR="00D2421C" w:rsidRPr="00D2421C" w:rsidRDefault="00D2421C" w:rsidP="00D2421C">
      <w:pPr>
        <w:spacing w:after="120"/>
        <w:ind w:right="-180"/>
        <w:jc w:val="both"/>
        <w:rPr>
          <w:rFonts w:cs="Arial"/>
          <w:sz w:val="20"/>
        </w:rPr>
      </w:pPr>
      <w:r w:rsidRPr="00D2421C">
        <w:rPr>
          <w:rFonts w:cs="Arial"/>
          <w:b/>
          <w:bCs/>
          <w:sz w:val="20"/>
          <w:u w:val="single"/>
        </w:rPr>
        <w:t>WARRANTY</w:t>
      </w:r>
    </w:p>
    <w:p w14:paraId="59E695AB" w14:textId="77777777" w:rsidR="00D2421C" w:rsidRPr="00D2421C" w:rsidRDefault="00D2421C" w:rsidP="00D2421C">
      <w:pPr>
        <w:spacing w:after="120"/>
        <w:ind w:right="-180"/>
        <w:jc w:val="both"/>
        <w:rPr>
          <w:rFonts w:cs="Arial"/>
          <w:sz w:val="20"/>
        </w:rPr>
      </w:pPr>
      <w:r w:rsidRPr="00D2421C">
        <w:rPr>
          <w:rFonts w:cs="Arial"/>
          <w:sz w:val="20"/>
        </w:rPr>
        <w:t>1. All materials and labor shall be warranted by the vendor, contractor and manufacturer for a minimum period of one (1) year from the date of official project completion. If any manufacturer’s material warranty exceeds the one (1) year warranty period, the longer warranty shall prevail.</w:t>
      </w:r>
    </w:p>
    <w:p w14:paraId="7E0896B0" w14:textId="77777777" w:rsidR="00D2421C" w:rsidRPr="00D2421C" w:rsidRDefault="00D2421C" w:rsidP="00D2421C">
      <w:pPr>
        <w:spacing w:after="120"/>
        <w:ind w:right="-180"/>
        <w:jc w:val="both"/>
        <w:rPr>
          <w:rFonts w:cs="Arial"/>
          <w:sz w:val="20"/>
        </w:rPr>
      </w:pPr>
      <w:r w:rsidRPr="00D2421C">
        <w:rPr>
          <w:rFonts w:cs="Arial"/>
          <w:sz w:val="20"/>
        </w:rPr>
        <w:t>2. The awarded vendor/contractor is responsible for all warranty work.</w:t>
      </w:r>
    </w:p>
    <w:p w14:paraId="2A89C86A" w14:textId="77777777" w:rsidR="00D2421C" w:rsidRPr="00D2421C" w:rsidRDefault="00D2421C" w:rsidP="00D2421C">
      <w:pPr>
        <w:spacing w:after="120"/>
        <w:ind w:right="-180"/>
        <w:jc w:val="both"/>
        <w:rPr>
          <w:rFonts w:cs="Arial"/>
          <w:sz w:val="20"/>
        </w:rPr>
      </w:pPr>
      <w:r w:rsidRPr="00D2421C">
        <w:rPr>
          <w:rFonts w:cs="Arial"/>
          <w:sz w:val="20"/>
        </w:rPr>
        <w:t xml:space="preserve">3. If additional warranty options are available, the contractor shall provide them </w:t>
      </w:r>
      <w:proofErr w:type="gramStart"/>
      <w:r w:rsidRPr="00D2421C">
        <w:rPr>
          <w:rFonts w:cs="Arial"/>
          <w:sz w:val="20"/>
        </w:rPr>
        <w:t>to</w:t>
      </w:r>
      <w:proofErr w:type="gramEnd"/>
      <w:r w:rsidRPr="00D2421C">
        <w:rPr>
          <w:rFonts w:cs="Arial"/>
          <w:sz w:val="20"/>
        </w:rPr>
        <w:t xml:space="preserve"> RTA for consideration at the time the RFP is submitted.</w:t>
      </w:r>
    </w:p>
    <w:p w14:paraId="02DA4255" w14:textId="77777777" w:rsidR="00D2421C" w:rsidRPr="00D2421C" w:rsidRDefault="00D2421C" w:rsidP="00D2421C">
      <w:pPr>
        <w:spacing w:after="120"/>
        <w:ind w:right="-180"/>
        <w:jc w:val="both"/>
        <w:rPr>
          <w:rFonts w:cs="Arial"/>
          <w:sz w:val="20"/>
        </w:rPr>
      </w:pPr>
      <w:r w:rsidRPr="00D2421C">
        <w:rPr>
          <w:rFonts w:cs="Arial"/>
          <w:b/>
          <w:bCs/>
          <w:sz w:val="20"/>
          <w:u w:val="single"/>
        </w:rPr>
        <w:t>INVOICING</w:t>
      </w:r>
    </w:p>
    <w:p w14:paraId="0A2F76B9" w14:textId="77777777" w:rsidR="00D2421C" w:rsidRPr="00D2421C" w:rsidRDefault="00D2421C" w:rsidP="00D2421C">
      <w:pPr>
        <w:spacing w:after="120"/>
        <w:ind w:right="-180"/>
        <w:jc w:val="both"/>
        <w:rPr>
          <w:rFonts w:cs="Arial"/>
          <w:sz w:val="20"/>
        </w:rPr>
      </w:pPr>
      <w:r w:rsidRPr="00D2421C">
        <w:rPr>
          <w:rFonts w:cs="Arial"/>
          <w:sz w:val="20"/>
        </w:rPr>
        <w:lastRenderedPageBreak/>
        <w:t>1. Invoicing shall be upon completion of the work, unless otherwise agreed upon by the parties.</w:t>
      </w:r>
    </w:p>
    <w:p w14:paraId="59EA4165" w14:textId="77777777" w:rsidR="00D2421C" w:rsidRPr="00D2421C" w:rsidRDefault="00D2421C" w:rsidP="00D2421C">
      <w:pPr>
        <w:spacing w:after="120"/>
        <w:ind w:right="-180"/>
        <w:jc w:val="both"/>
        <w:rPr>
          <w:rFonts w:cs="Arial"/>
          <w:sz w:val="20"/>
        </w:rPr>
      </w:pPr>
      <w:r w:rsidRPr="00D2421C">
        <w:rPr>
          <w:rFonts w:cs="Arial"/>
          <w:sz w:val="20"/>
        </w:rPr>
        <w:t>2. The RTA will allow partial payments for materials that are on-site at the RTA or for work that has been completed, both of which require clear documentation and shall be approved in writing by RTA’s Project manager.</w:t>
      </w:r>
    </w:p>
    <w:p w14:paraId="532B8ECA" w14:textId="77777777" w:rsidR="00D2421C" w:rsidRPr="00D2421C" w:rsidRDefault="00D2421C" w:rsidP="00D2421C">
      <w:pPr>
        <w:spacing w:after="120"/>
        <w:ind w:right="-180"/>
        <w:jc w:val="both"/>
        <w:rPr>
          <w:rFonts w:cs="Arial"/>
          <w:sz w:val="20"/>
        </w:rPr>
      </w:pPr>
      <w:r w:rsidRPr="00D2421C">
        <w:rPr>
          <w:rFonts w:cs="Arial"/>
          <w:sz w:val="20"/>
        </w:rPr>
        <w:t xml:space="preserve">The Greater Dayton Regional Transit Authority may extend the term of this contract by </w:t>
      </w:r>
      <w:proofErr w:type="gramStart"/>
      <w:r w:rsidRPr="00D2421C">
        <w:rPr>
          <w:rFonts w:cs="Arial"/>
          <w:sz w:val="20"/>
        </w:rPr>
        <w:t>written</w:t>
      </w:r>
      <w:proofErr w:type="gramEnd"/>
      <w:r w:rsidRPr="00D2421C">
        <w:rPr>
          <w:rFonts w:cs="Arial"/>
          <w:sz w:val="20"/>
        </w:rPr>
        <w:t xml:space="preserve"> notice to the Contractor within 30 days, provided that the RTA shall give the Contractor a preliminary written notice of its intent to extend at least 60 days before the contract expires. The preliminary notice does not commit the RTA to an extension. If the RTA exercises this option, the extended contract shall be considered to include this option provision. The total duration of this contract, including the exercise of any options under this clause, shall not exceed twelve (12) months.</w:t>
      </w:r>
    </w:p>
    <w:p w14:paraId="4911CAE0" w14:textId="77777777" w:rsidR="00D2421C" w:rsidRPr="00D2421C" w:rsidRDefault="00D2421C" w:rsidP="00D2421C">
      <w:pPr>
        <w:spacing w:after="120"/>
        <w:ind w:right="-180"/>
        <w:jc w:val="both"/>
        <w:rPr>
          <w:rFonts w:cs="Arial"/>
          <w:sz w:val="20"/>
        </w:rPr>
      </w:pPr>
      <w:r w:rsidRPr="00D2421C">
        <w:rPr>
          <w:rFonts w:cs="Arial"/>
          <w:b/>
          <w:bCs/>
          <w:sz w:val="20"/>
        </w:rPr>
        <w:t>3. Quantity and Delivery Requirements</w:t>
      </w:r>
    </w:p>
    <w:p w14:paraId="4AA0D801" w14:textId="77777777" w:rsidR="00D2421C" w:rsidRPr="00D2421C" w:rsidRDefault="00D2421C" w:rsidP="00D2421C">
      <w:pPr>
        <w:spacing w:after="120"/>
        <w:ind w:right="-180"/>
        <w:jc w:val="both"/>
        <w:rPr>
          <w:rFonts w:cs="Arial"/>
          <w:sz w:val="20"/>
        </w:rPr>
      </w:pPr>
      <w:r w:rsidRPr="00D2421C">
        <w:rPr>
          <w:rFonts w:cs="Arial"/>
          <w:sz w:val="20"/>
        </w:rPr>
        <w:t xml:space="preserve">There is no set quantity </w:t>
      </w:r>
      <w:proofErr w:type="gramStart"/>
      <w:r w:rsidRPr="00D2421C">
        <w:rPr>
          <w:rFonts w:cs="Arial"/>
          <w:sz w:val="20"/>
        </w:rPr>
        <w:t>nor</w:t>
      </w:r>
      <w:proofErr w:type="gramEnd"/>
      <w:r w:rsidRPr="00D2421C">
        <w:rPr>
          <w:rFonts w:cs="Arial"/>
          <w:sz w:val="20"/>
        </w:rPr>
        <w:t xml:space="preserve"> delivery schedule for this contract. Goods and/or services shall be provided as required by RTA. Awarded vendors responsible for meeting all requirements for the awarded items over the contract period. No guarantee is made or implied as to the minimum quantities that may be ordered for the duration of the contract. </w:t>
      </w:r>
    </w:p>
    <w:p w14:paraId="277D9B74" w14:textId="77777777" w:rsidR="00D2421C" w:rsidRPr="00D2421C" w:rsidRDefault="00D2421C" w:rsidP="00D2421C">
      <w:pPr>
        <w:spacing w:after="120"/>
        <w:ind w:right="-180"/>
        <w:jc w:val="both"/>
        <w:rPr>
          <w:rFonts w:cs="Arial"/>
          <w:sz w:val="20"/>
        </w:rPr>
      </w:pPr>
    </w:p>
    <w:p w14:paraId="5E88BE56" w14:textId="23956649" w:rsidR="000C437B" w:rsidRPr="00D2421C" w:rsidRDefault="00D2421C" w:rsidP="00DC3830">
      <w:pPr>
        <w:spacing w:after="120"/>
        <w:ind w:right="-180"/>
        <w:jc w:val="both"/>
        <w:rPr>
          <w:rFonts w:cs="Arial"/>
          <w:b/>
          <w:bCs/>
          <w:sz w:val="20"/>
        </w:rPr>
      </w:pPr>
      <w:r w:rsidRPr="00D2421C">
        <w:rPr>
          <w:rFonts w:cs="Arial"/>
          <w:b/>
          <w:bCs/>
          <w:sz w:val="20"/>
        </w:rPr>
        <w:t xml:space="preserve">*Site </w:t>
      </w:r>
      <w:proofErr w:type="gramStart"/>
      <w:r w:rsidRPr="00D2421C">
        <w:rPr>
          <w:rFonts w:cs="Arial"/>
          <w:b/>
          <w:bCs/>
          <w:sz w:val="20"/>
        </w:rPr>
        <w:t>visit</w:t>
      </w:r>
      <w:proofErr w:type="gramEnd"/>
      <w:r w:rsidRPr="00D2421C">
        <w:rPr>
          <w:rFonts w:cs="Arial"/>
          <w:b/>
          <w:bCs/>
          <w:sz w:val="20"/>
        </w:rPr>
        <w:t xml:space="preserve"> will take place immediately following our meeting.</w:t>
      </w:r>
    </w:p>
    <w:p w14:paraId="197C29DE" w14:textId="77777777" w:rsidR="00D2421C" w:rsidRPr="00D2421C" w:rsidRDefault="00D2421C" w:rsidP="00DC3830">
      <w:pPr>
        <w:spacing w:after="120"/>
        <w:ind w:right="-180"/>
        <w:jc w:val="both"/>
        <w:rPr>
          <w:rFonts w:cs="Arial"/>
          <w:sz w:val="20"/>
        </w:rPr>
      </w:pPr>
    </w:p>
    <w:p w14:paraId="1A92ADBE" w14:textId="38AF3C36" w:rsidR="00DC3830" w:rsidRPr="00D2421C" w:rsidRDefault="000C437B" w:rsidP="00DC3830">
      <w:pPr>
        <w:pStyle w:val="Heading1"/>
        <w:rPr>
          <w:rFonts w:cs="Arial"/>
          <w:sz w:val="20"/>
          <w:szCs w:val="20"/>
        </w:rPr>
      </w:pPr>
      <w:r w:rsidRPr="00D2421C">
        <w:rPr>
          <w:rFonts w:cs="Arial"/>
          <w:sz w:val="20"/>
          <w:szCs w:val="20"/>
        </w:rPr>
        <w:t>QUESTIONS</w:t>
      </w:r>
    </w:p>
    <w:p w14:paraId="73E3A916" w14:textId="77777777" w:rsidR="002E0A5B" w:rsidRPr="00D2421C" w:rsidRDefault="002E0A5B" w:rsidP="00DC3830">
      <w:pPr>
        <w:spacing w:after="120"/>
        <w:ind w:right="-180"/>
        <w:jc w:val="both"/>
        <w:rPr>
          <w:rFonts w:cs="Arial"/>
          <w:sz w:val="20"/>
        </w:rPr>
      </w:pPr>
    </w:p>
    <w:p w14:paraId="33A114D2" w14:textId="77777777" w:rsidR="00DC3830" w:rsidRPr="00D2421C" w:rsidRDefault="00DC3830" w:rsidP="00DC3830">
      <w:pPr>
        <w:spacing w:after="120"/>
        <w:ind w:right="-180"/>
        <w:jc w:val="both"/>
        <w:rPr>
          <w:rFonts w:cs="Arial"/>
          <w:sz w:val="20"/>
          <w:u w:val="single"/>
        </w:rPr>
      </w:pPr>
    </w:p>
    <w:p w14:paraId="0249117A" w14:textId="77777777" w:rsidR="00DC3830" w:rsidRPr="00D2421C" w:rsidRDefault="00DC3830" w:rsidP="00DC3830">
      <w:pPr>
        <w:spacing w:after="120"/>
        <w:ind w:right="-180"/>
        <w:jc w:val="both"/>
        <w:rPr>
          <w:rFonts w:cs="Arial"/>
          <w:sz w:val="20"/>
        </w:rPr>
      </w:pPr>
    </w:p>
    <w:p w14:paraId="09F25800" w14:textId="0B6F1628" w:rsidR="00221F25" w:rsidRPr="00D2421C" w:rsidRDefault="007F629E" w:rsidP="00DC3830">
      <w:pPr>
        <w:pStyle w:val="Heading1"/>
        <w:rPr>
          <w:rFonts w:cs="Arial"/>
          <w:sz w:val="20"/>
          <w:szCs w:val="20"/>
        </w:rPr>
      </w:pPr>
      <w:r w:rsidRPr="00D2421C">
        <w:rPr>
          <w:rFonts w:cs="Arial"/>
          <w:sz w:val="20"/>
          <w:szCs w:val="20"/>
        </w:rPr>
        <w:t>End of Meeting</w:t>
      </w:r>
    </w:p>
    <w:sectPr w:rsidR="00221F25" w:rsidRPr="00D2421C" w:rsidSect="00AD46E0">
      <w:headerReference w:type="first" r:id="rId8"/>
      <w:pgSz w:w="12240" w:h="15840"/>
      <w:pgMar w:top="1440" w:right="1440" w:bottom="1440" w:left="1440" w:header="288" w:footer="288"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48339A" w14:textId="77777777" w:rsidR="00D11587" w:rsidRDefault="00D11587" w:rsidP="003A1DB4">
      <w:r>
        <w:separator/>
      </w:r>
    </w:p>
  </w:endnote>
  <w:endnote w:type="continuationSeparator" w:id="0">
    <w:p w14:paraId="7830BD8E" w14:textId="77777777" w:rsidR="00D11587" w:rsidRDefault="00D11587" w:rsidP="003A1D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Sans Serif">
    <w:altName w:val="Arial"/>
    <w:panose1 w:val="00000000000000000000"/>
    <w:charset w:val="4D"/>
    <w:family w:val="swiss"/>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S Mincho">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8F0248" w14:textId="77777777" w:rsidR="00D11587" w:rsidRDefault="00D11587" w:rsidP="003A1DB4">
      <w:r>
        <w:separator/>
      </w:r>
    </w:p>
  </w:footnote>
  <w:footnote w:type="continuationSeparator" w:id="0">
    <w:p w14:paraId="38A54E8E" w14:textId="77777777" w:rsidR="00D11587" w:rsidRDefault="00D11587" w:rsidP="003A1D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DBB785" w14:textId="04E944C9" w:rsidR="00AD46E0" w:rsidRDefault="00AD46E0" w:rsidP="00AD46E0">
    <w:pPr>
      <w:pStyle w:val="Header"/>
      <w:jc w:val="center"/>
    </w:pPr>
    <w:r>
      <w:rPr>
        <w:rFonts w:cs="Arial"/>
        <w:noProof/>
        <w:sz w:val="32"/>
        <w:szCs w:val="32"/>
      </w:rPr>
      <w:drawing>
        <wp:inline distT="0" distB="0" distL="0" distR="0" wp14:anchorId="0400848D" wp14:editId="48644F22">
          <wp:extent cx="1707515" cy="532619"/>
          <wp:effectExtent l="0" t="0" r="6985" b="1270"/>
          <wp:docPr id="423212108" name="Picture 4232121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RTA Logo 109 x 34.png"/>
                  <pic:cNvPicPr/>
                </pic:nvPicPr>
                <pic:blipFill>
                  <a:blip r:embed="rId1">
                    <a:extLst>
                      <a:ext uri="{28A0092B-C50C-407E-A947-70E740481C1C}">
                        <a14:useLocalDpi xmlns:a14="http://schemas.microsoft.com/office/drawing/2010/main" val="0"/>
                      </a:ext>
                    </a:extLst>
                  </a:blip>
                  <a:stretch>
                    <a:fillRect/>
                  </a:stretch>
                </pic:blipFill>
                <pic:spPr>
                  <a:xfrm>
                    <a:off x="0" y="0"/>
                    <a:ext cx="1729887" cy="539597"/>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9662CBB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92170E"/>
    <w:multiLevelType w:val="hybridMultilevel"/>
    <w:tmpl w:val="A7004F16"/>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2" w15:restartNumberingAfterBreak="0">
    <w:nsid w:val="0B795762"/>
    <w:multiLevelType w:val="multilevel"/>
    <w:tmpl w:val="180853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ind w:left="2160" w:hanging="360"/>
      </w:pPr>
      <w:rPr>
        <w:rFonts w:hint="default"/>
        <w:b w:val="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C4573E5"/>
    <w:multiLevelType w:val="hybridMultilevel"/>
    <w:tmpl w:val="721ABE44"/>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 w15:restartNumberingAfterBreak="0">
    <w:nsid w:val="150B7C8D"/>
    <w:multiLevelType w:val="hybridMultilevel"/>
    <w:tmpl w:val="13BEC8A0"/>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5" w15:restartNumberingAfterBreak="0">
    <w:nsid w:val="15D54403"/>
    <w:multiLevelType w:val="hybridMultilevel"/>
    <w:tmpl w:val="3CF4EA12"/>
    <w:lvl w:ilvl="0" w:tplc="05803C8C">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6" w15:restartNumberingAfterBreak="0">
    <w:nsid w:val="18801371"/>
    <w:multiLevelType w:val="hybridMultilevel"/>
    <w:tmpl w:val="75942696"/>
    <w:lvl w:ilvl="0" w:tplc="04090017">
      <w:start w:val="1"/>
      <w:numFmt w:val="lowerLetter"/>
      <w:lvlText w:val="%1)"/>
      <w:lvlJc w:val="left"/>
      <w:pPr>
        <w:tabs>
          <w:tab w:val="num" w:pos="1455"/>
        </w:tabs>
        <w:ind w:left="1455" w:hanging="465"/>
      </w:pPr>
      <w:rPr>
        <w:rFonts w:hint="default"/>
        <w:b/>
        <w:strike w:val="0"/>
        <w:dstrike w:val="0"/>
      </w:rPr>
    </w:lvl>
    <w:lvl w:ilvl="1" w:tplc="5560B14C">
      <w:start w:val="1"/>
      <w:numFmt w:val="decimal"/>
      <w:lvlText w:val="%2."/>
      <w:lvlJc w:val="left"/>
      <w:pPr>
        <w:tabs>
          <w:tab w:val="num" w:pos="2070"/>
        </w:tabs>
        <w:ind w:left="2070" w:hanging="360"/>
      </w:pPr>
      <w:rPr>
        <w:rFonts w:hint="default"/>
      </w:rPr>
    </w:lvl>
    <w:lvl w:ilvl="2" w:tplc="0409001B">
      <w:start w:val="1"/>
      <w:numFmt w:val="lowerRoman"/>
      <w:lvlText w:val="%3."/>
      <w:lvlJc w:val="right"/>
      <w:pPr>
        <w:tabs>
          <w:tab w:val="num" w:pos="2790"/>
        </w:tabs>
        <w:ind w:left="2790" w:hanging="180"/>
      </w:pPr>
    </w:lvl>
    <w:lvl w:ilvl="3" w:tplc="0409000F">
      <w:start w:val="1"/>
      <w:numFmt w:val="decimal"/>
      <w:lvlText w:val="%4."/>
      <w:lvlJc w:val="left"/>
      <w:pPr>
        <w:tabs>
          <w:tab w:val="num" w:pos="3510"/>
        </w:tabs>
        <w:ind w:left="3510" w:hanging="360"/>
      </w:pPr>
      <w:rPr>
        <w:rFonts w:hint="default"/>
        <w:b/>
      </w:rPr>
    </w:lvl>
    <w:lvl w:ilvl="4" w:tplc="04090019" w:tentative="1">
      <w:start w:val="1"/>
      <w:numFmt w:val="lowerLetter"/>
      <w:lvlText w:val="%5."/>
      <w:lvlJc w:val="left"/>
      <w:pPr>
        <w:tabs>
          <w:tab w:val="num" w:pos="4230"/>
        </w:tabs>
        <w:ind w:left="4230" w:hanging="360"/>
      </w:pPr>
    </w:lvl>
    <w:lvl w:ilvl="5" w:tplc="0409001B" w:tentative="1">
      <w:start w:val="1"/>
      <w:numFmt w:val="lowerRoman"/>
      <w:lvlText w:val="%6."/>
      <w:lvlJc w:val="right"/>
      <w:pPr>
        <w:tabs>
          <w:tab w:val="num" w:pos="4950"/>
        </w:tabs>
        <w:ind w:left="4950" w:hanging="180"/>
      </w:pPr>
    </w:lvl>
    <w:lvl w:ilvl="6" w:tplc="0409000F" w:tentative="1">
      <w:start w:val="1"/>
      <w:numFmt w:val="decimal"/>
      <w:lvlText w:val="%7."/>
      <w:lvlJc w:val="left"/>
      <w:pPr>
        <w:tabs>
          <w:tab w:val="num" w:pos="5670"/>
        </w:tabs>
        <w:ind w:left="5670" w:hanging="360"/>
      </w:pPr>
    </w:lvl>
    <w:lvl w:ilvl="7" w:tplc="04090019" w:tentative="1">
      <w:start w:val="1"/>
      <w:numFmt w:val="lowerLetter"/>
      <w:lvlText w:val="%8."/>
      <w:lvlJc w:val="left"/>
      <w:pPr>
        <w:tabs>
          <w:tab w:val="num" w:pos="6390"/>
        </w:tabs>
        <w:ind w:left="6390" w:hanging="360"/>
      </w:pPr>
    </w:lvl>
    <w:lvl w:ilvl="8" w:tplc="0409001B" w:tentative="1">
      <w:start w:val="1"/>
      <w:numFmt w:val="lowerRoman"/>
      <w:lvlText w:val="%9."/>
      <w:lvlJc w:val="right"/>
      <w:pPr>
        <w:tabs>
          <w:tab w:val="num" w:pos="7110"/>
        </w:tabs>
        <w:ind w:left="7110" w:hanging="180"/>
      </w:pPr>
    </w:lvl>
  </w:abstractNum>
  <w:abstractNum w:abstractNumId="7" w15:restartNumberingAfterBreak="0">
    <w:nsid w:val="1BF966D8"/>
    <w:multiLevelType w:val="multilevel"/>
    <w:tmpl w:val="71C02C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CE354FF"/>
    <w:multiLevelType w:val="hybridMultilevel"/>
    <w:tmpl w:val="098C9C9A"/>
    <w:lvl w:ilvl="0" w:tplc="04090003">
      <w:start w:val="1"/>
      <w:numFmt w:val="bullet"/>
      <w:lvlText w:val="o"/>
      <w:lvlJc w:val="left"/>
      <w:pPr>
        <w:tabs>
          <w:tab w:val="num" w:pos="1440"/>
        </w:tabs>
        <w:ind w:left="1440" w:hanging="360"/>
      </w:pPr>
      <w:rPr>
        <w:rFonts w:ascii="Courier New" w:hAnsi="Courier New" w:cs="Courier New"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9" w15:restartNumberingAfterBreak="0">
    <w:nsid w:val="1DCA1876"/>
    <w:multiLevelType w:val="hybridMultilevel"/>
    <w:tmpl w:val="FE84A08E"/>
    <w:lvl w:ilvl="0" w:tplc="A2341FC0">
      <w:start w:val="8"/>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0" w15:restartNumberingAfterBreak="0">
    <w:nsid w:val="20DB279E"/>
    <w:multiLevelType w:val="hybridMultilevel"/>
    <w:tmpl w:val="2BDAD8E6"/>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1" w15:restartNumberingAfterBreak="0">
    <w:nsid w:val="22B403D5"/>
    <w:multiLevelType w:val="hybridMultilevel"/>
    <w:tmpl w:val="8C68E862"/>
    <w:lvl w:ilvl="0" w:tplc="04090011">
      <w:start w:val="1"/>
      <w:numFmt w:val="decimal"/>
      <w:lvlText w:val="%1)"/>
      <w:lvlJc w:val="left"/>
      <w:pPr>
        <w:tabs>
          <w:tab w:val="num" w:pos="1980"/>
        </w:tabs>
        <w:ind w:left="1980" w:hanging="360"/>
      </w:pPr>
      <w:rPr>
        <w:rFonts w:cs="Times New Roman"/>
      </w:rPr>
    </w:lvl>
    <w:lvl w:ilvl="1" w:tplc="04090003">
      <w:start w:val="1"/>
      <w:numFmt w:val="bullet"/>
      <w:lvlText w:val="o"/>
      <w:lvlJc w:val="left"/>
      <w:pPr>
        <w:tabs>
          <w:tab w:val="num" w:pos="2700"/>
        </w:tabs>
        <w:ind w:left="2700" w:hanging="360"/>
      </w:pPr>
      <w:rPr>
        <w:rFonts w:ascii="Courier New" w:hAnsi="Courier New" w:cs="Courier New" w:hint="default"/>
      </w:rPr>
    </w:lvl>
    <w:lvl w:ilvl="2" w:tplc="0409001B" w:tentative="1">
      <w:start w:val="1"/>
      <w:numFmt w:val="lowerRoman"/>
      <w:lvlText w:val="%3."/>
      <w:lvlJc w:val="right"/>
      <w:pPr>
        <w:tabs>
          <w:tab w:val="num" w:pos="3420"/>
        </w:tabs>
        <w:ind w:left="3420" w:hanging="180"/>
      </w:pPr>
      <w:rPr>
        <w:rFonts w:cs="Times New Roman"/>
      </w:rPr>
    </w:lvl>
    <w:lvl w:ilvl="3" w:tplc="0409000F" w:tentative="1">
      <w:start w:val="1"/>
      <w:numFmt w:val="decimal"/>
      <w:lvlText w:val="%4."/>
      <w:lvlJc w:val="left"/>
      <w:pPr>
        <w:tabs>
          <w:tab w:val="num" w:pos="4140"/>
        </w:tabs>
        <w:ind w:left="4140" w:hanging="360"/>
      </w:pPr>
      <w:rPr>
        <w:rFonts w:cs="Times New Roman"/>
      </w:rPr>
    </w:lvl>
    <w:lvl w:ilvl="4" w:tplc="04090019" w:tentative="1">
      <w:start w:val="1"/>
      <w:numFmt w:val="lowerLetter"/>
      <w:lvlText w:val="%5."/>
      <w:lvlJc w:val="left"/>
      <w:pPr>
        <w:tabs>
          <w:tab w:val="num" w:pos="4860"/>
        </w:tabs>
        <w:ind w:left="4860" w:hanging="360"/>
      </w:pPr>
      <w:rPr>
        <w:rFonts w:cs="Times New Roman"/>
      </w:rPr>
    </w:lvl>
    <w:lvl w:ilvl="5" w:tplc="0409001B" w:tentative="1">
      <w:start w:val="1"/>
      <w:numFmt w:val="lowerRoman"/>
      <w:lvlText w:val="%6."/>
      <w:lvlJc w:val="right"/>
      <w:pPr>
        <w:tabs>
          <w:tab w:val="num" w:pos="5580"/>
        </w:tabs>
        <w:ind w:left="5580" w:hanging="180"/>
      </w:pPr>
      <w:rPr>
        <w:rFonts w:cs="Times New Roman"/>
      </w:rPr>
    </w:lvl>
    <w:lvl w:ilvl="6" w:tplc="0409000F" w:tentative="1">
      <w:start w:val="1"/>
      <w:numFmt w:val="decimal"/>
      <w:lvlText w:val="%7."/>
      <w:lvlJc w:val="left"/>
      <w:pPr>
        <w:tabs>
          <w:tab w:val="num" w:pos="6300"/>
        </w:tabs>
        <w:ind w:left="6300" w:hanging="360"/>
      </w:pPr>
      <w:rPr>
        <w:rFonts w:cs="Times New Roman"/>
      </w:rPr>
    </w:lvl>
    <w:lvl w:ilvl="7" w:tplc="04090019" w:tentative="1">
      <w:start w:val="1"/>
      <w:numFmt w:val="lowerLetter"/>
      <w:lvlText w:val="%8."/>
      <w:lvlJc w:val="left"/>
      <w:pPr>
        <w:tabs>
          <w:tab w:val="num" w:pos="7020"/>
        </w:tabs>
        <w:ind w:left="7020" w:hanging="360"/>
      </w:pPr>
      <w:rPr>
        <w:rFonts w:cs="Times New Roman"/>
      </w:rPr>
    </w:lvl>
    <w:lvl w:ilvl="8" w:tplc="0409001B" w:tentative="1">
      <w:start w:val="1"/>
      <w:numFmt w:val="lowerRoman"/>
      <w:lvlText w:val="%9."/>
      <w:lvlJc w:val="right"/>
      <w:pPr>
        <w:tabs>
          <w:tab w:val="num" w:pos="7740"/>
        </w:tabs>
        <w:ind w:left="7740" w:hanging="180"/>
      </w:pPr>
      <w:rPr>
        <w:rFonts w:cs="Times New Roman"/>
      </w:rPr>
    </w:lvl>
  </w:abstractNum>
  <w:abstractNum w:abstractNumId="12" w15:restartNumberingAfterBreak="0">
    <w:nsid w:val="3FCF3214"/>
    <w:multiLevelType w:val="hybridMultilevel"/>
    <w:tmpl w:val="C15EB468"/>
    <w:lvl w:ilvl="0" w:tplc="04090017">
      <w:start w:val="1"/>
      <w:numFmt w:val="lowerLetter"/>
      <w:lvlText w:val="%1)"/>
      <w:lvlJc w:val="left"/>
      <w:pPr>
        <w:ind w:left="4740" w:hanging="360"/>
      </w:pPr>
    </w:lvl>
    <w:lvl w:ilvl="1" w:tplc="04090019" w:tentative="1">
      <w:start w:val="1"/>
      <w:numFmt w:val="lowerLetter"/>
      <w:lvlText w:val="%2."/>
      <w:lvlJc w:val="left"/>
      <w:pPr>
        <w:ind w:left="5460" w:hanging="360"/>
      </w:pPr>
    </w:lvl>
    <w:lvl w:ilvl="2" w:tplc="0409001B" w:tentative="1">
      <w:start w:val="1"/>
      <w:numFmt w:val="lowerRoman"/>
      <w:lvlText w:val="%3."/>
      <w:lvlJc w:val="right"/>
      <w:pPr>
        <w:ind w:left="6180" w:hanging="180"/>
      </w:pPr>
    </w:lvl>
    <w:lvl w:ilvl="3" w:tplc="0409000F" w:tentative="1">
      <w:start w:val="1"/>
      <w:numFmt w:val="decimal"/>
      <w:lvlText w:val="%4."/>
      <w:lvlJc w:val="left"/>
      <w:pPr>
        <w:ind w:left="6900" w:hanging="360"/>
      </w:pPr>
    </w:lvl>
    <w:lvl w:ilvl="4" w:tplc="04090019" w:tentative="1">
      <w:start w:val="1"/>
      <w:numFmt w:val="lowerLetter"/>
      <w:lvlText w:val="%5."/>
      <w:lvlJc w:val="left"/>
      <w:pPr>
        <w:ind w:left="7620" w:hanging="360"/>
      </w:pPr>
    </w:lvl>
    <w:lvl w:ilvl="5" w:tplc="0409001B" w:tentative="1">
      <w:start w:val="1"/>
      <w:numFmt w:val="lowerRoman"/>
      <w:lvlText w:val="%6."/>
      <w:lvlJc w:val="right"/>
      <w:pPr>
        <w:ind w:left="8340" w:hanging="180"/>
      </w:pPr>
    </w:lvl>
    <w:lvl w:ilvl="6" w:tplc="0409000F" w:tentative="1">
      <w:start w:val="1"/>
      <w:numFmt w:val="decimal"/>
      <w:lvlText w:val="%7."/>
      <w:lvlJc w:val="left"/>
      <w:pPr>
        <w:ind w:left="9060" w:hanging="360"/>
      </w:pPr>
    </w:lvl>
    <w:lvl w:ilvl="7" w:tplc="04090019" w:tentative="1">
      <w:start w:val="1"/>
      <w:numFmt w:val="lowerLetter"/>
      <w:lvlText w:val="%8."/>
      <w:lvlJc w:val="left"/>
      <w:pPr>
        <w:ind w:left="9780" w:hanging="360"/>
      </w:pPr>
    </w:lvl>
    <w:lvl w:ilvl="8" w:tplc="0409001B" w:tentative="1">
      <w:start w:val="1"/>
      <w:numFmt w:val="lowerRoman"/>
      <w:lvlText w:val="%9."/>
      <w:lvlJc w:val="right"/>
      <w:pPr>
        <w:ind w:left="10500" w:hanging="180"/>
      </w:pPr>
    </w:lvl>
  </w:abstractNum>
  <w:abstractNum w:abstractNumId="13" w15:restartNumberingAfterBreak="0">
    <w:nsid w:val="4C644B9D"/>
    <w:multiLevelType w:val="hybridMultilevel"/>
    <w:tmpl w:val="1E7E17A8"/>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4" w15:restartNumberingAfterBreak="0">
    <w:nsid w:val="556017BB"/>
    <w:multiLevelType w:val="hybridMultilevel"/>
    <w:tmpl w:val="03762AA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C1D16C5"/>
    <w:multiLevelType w:val="multilevel"/>
    <w:tmpl w:val="584EFA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CC70AE7"/>
    <w:multiLevelType w:val="multilevel"/>
    <w:tmpl w:val="EA92640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9BC1286"/>
    <w:multiLevelType w:val="hybridMultilevel"/>
    <w:tmpl w:val="765E8148"/>
    <w:lvl w:ilvl="0" w:tplc="2ACA0C92">
      <w:start w:val="1"/>
      <w:numFmt w:val="upperRoman"/>
      <w:pStyle w:val="Heading1"/>
      <w:lvlText w:val="%1."/>
      <w:lvlJc w:val="righ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7D3B2318"/>
    <w:multiLevelType w:val="hybridMultilevel"/>
    <w:tmpl w:val="0AB295BC"/>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2052607841">
    <w:abstractNumId w:val="10"/>
  </w:num>
  <w:num w:numId="2" w16cid:durableId="674957217">
    <w:abstractNumId w:val="14"/>
  </w:num>
  <w:num w:numId="3" w16cid:durableId="438573230">
    <w:abstractNumId w:val="4"/>
  </w:num>
  <w:num w:numId="4" w16cid:durableId="486673065">
    <w:abstractNumId w:val="9"/>
  </w:num>
  <w:num w:numId="5" w16cid:durableId="1661928511">
    <w:abstractNumId w:val="3"/>
  </w:num>
  <w:num w:numId="6" w16cid:durableId="1451362632">
    <w:abstractNumId w:val="13"/>
  </w:num>
  <w:num w:numId="7" w16cid:durableId="1187056651">
    <w:abstractNumId w:val="11"/>
  </w:num>
  <w:num w:numId="8" w16cid:durableId="601767201">
    <w:abstractNumId w:val="8"/>
  </w:num>
  <w:num w:numId="9" w16cid:durableId="855730">
    <w:abstractNumId w:val="18"/>
  </w:num>
  <w:num w:numId="10" w16cid:durableId="81895756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092575836">
    <w:abstractNumId w:val="5"/>
  </w:num>
  <w:num w:numId="12" w16cid:durableId="241837619">
    <w:abstractNumId w:val="12"/>
  </w:num>
  <w:num w:numId="13" w16cid:durableId="937643224">
    <w:abstractNumId w:val="0"/>
  </w:num>
  <w:num w:numId="14" w16cid:durableId="941693266">
    <w:abstractNumId w:val="6"/>
  </w:num>
  <w:num w:numId="15" w16cid:durableId="1240560698">
    <w:abstractNumId w:val="1"/>
  </w:num>
  <w:num w:numId="16" w16cid:durableId="965893308">
    <w:abstractNumId w:val="17"/>
  </w:num>
  <w:num w:numId="17" w16cid:durableId="2082680375">
    <w:abstractNumId w:val="16"/>
  </w:num>
  <w:num w:numId="18" w16cid:durableId="811408380">
    <w:abstractNumId w:val="2"/>
  </w:num>
  <w:num w:numId="19" w16cid:durableId="2073306615">
    <w:abstractNumId w:val="15"/>
  </w:num>
  <w:num w:numId="20" w16cid:durableId="105435499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661C"/>
    <w:rsid w:val="0001260E"/>
    <w:rsid w:val="00016318"/>
    <w:rsid w:val="0002141B"/>
    <w:rsid w:val="000226F0"/>
    <w:rsid w:val="00026E24"/>
    <w:rsid w:val="000425A3"/>
    <w:rsid w:val="000C437B"/>
    <w:rsid w:val="000C4441"/>
    <w:rsid w:val="000F127A"/>
    <w:rsid w:val="00104BB9"/>
    <w:rsid w:val="001271AC"/>
    <w:rsid w:val="00133C66"/>
    <w:rsid w:val="001468B5"/>
    <w:rsid w:val="00150F95"/>
    <w:rsid w:val="0015508F"/>
    <w:rsid w:val="00160FE7"/>
    <w:rsid w:val="00162B74"/>
    <w:rsid w:val="0016318C"/>
    <w:rsid w:val="0018374B"/>
    <w:rsid w:val="0019120E"/>
    <w:rsid w:val="001A1150"/>
    <w:rsid w:val="001D0125"/>
    <w:rsid w:val="001D2441"/>
    <w:rsid w:val="001D600E"/>
    <w:rsid w:val="001D70E3"/>
    <w:rsid w:val="001E626B"/>
    <w:rsid w:val="001F5EB6"/>
    <w:rsid w:val="002151E9"/>
    <w:rsid w:val="00221F25"/>
    <w:rsid w:val="0024790A"/>
    <w:rsid w:val="002613BA"/>
    <w:rsid w:val="00272063"/>
    <w:rsid w:val="00283EE1"/>
    <w:rsid w:val="002B2F6F"/>
    <w:rsid w:val="002B57D3"/>
    <w:rsid w:val="002D5FCA"/>
    <w:rsid w:val="002D796B"/>
    <w:rsid w:val="002E0A5B"/>
    <w:rsid w:val="002E4CD0"/>
    <w:rsid w:val="0032276A"/>
    <w:rsid w:val="00341C08"/>
    <w:rsid w:val="0035764D"/>
    <w:rsid w:val="003616DC"/>
    <w:rsid w:val="0038563E"/>
    <w:rsid w:val="00391709"/>
    <w:rsid w:val="00393267"/>
    <w:rsid w:val="003A1DB4"/>
    <w:rsid w:val="003E34DB"/>
    <w:rsid w:val="003E359D"/>
    <w:rsid w:val="00417F51"/>
    <w:rsid w:val="004312AF"/>
    <w:rsid w:val="00434100"/>
    <w:rsid w:val="00435B39"/>
    <w:rsid w:val="00440185"/>
    <w:rsid w:val="00450952"/>
    <w:rsid w:val="00454C9C"/>
    <w:rsid w:val="004700A9"/>
    <w:rsid w:val="004866D6"/>
    <w:rsid w:val="00495932"/>
    <w:rsid w:val="004B1799"/>
    <w:rsid w:val="004B3326"/>
    <w:rsid w:val="004C661C"/>
    <w:rsid w:val="004D4BE5"/>
    <w:rsid w:val="004E0D5A"/>
    <w:rsid w:val="004E5A76"/>
    <w:rsid w:val="004F1069"/>
    <w:rsid w:val="004F55A3"/>
    <w:rsid w:val="004F6DB5"/>
    <w:rsid w:val="00505B7E"/>
    <w:rsid w:val="0051250F"/>
    <w:rsid w:val="0058702F"/>
    <w:rsid w:val="00594992"/>
    <w:rsid w:val="005E0458"/>
    <w:rsid w:val="005E3191"/>
    <w:rsid w:val="005E3E67"/>
    <w:rsid w:val="005F5600"/>
    <w:rsid w:val="006275C9"/>
    <w:rsid w:val="00631B0B"/>
    <w:rsid w:val="00632F94"/>
    <w:rsid w:val="00634735"/>
    <w:rsid w:val="006364F6"/>
    <w:rsid w:val="00656E8D"/>
    <w:rsid w:val="0066172B"/>
    <w:rsid w:val="00676B97"/>
    <w:rsid w:val="0068715A"/>
    <w:rsid w:val="00690430"/>
    <w:rsid w:val="00697B3B"/>
    <w:rsid w:val="006A0BFC"/>
    <w:rsid w:val="006D243F"/>
    <w:rsid w:val="006F1AF0"/>
    <w:rsid w:val="00705F28"/>
    <w:rsid w:val="00731238"/>
    <w:rsid w:val="00732CC7"/>
    <w:rsid w:val="007436A3"/>
    <w:rsid w:val="00747FA1"/>
    <w:rsid w:val="00761C13"/>
    <w:rsid w:val="007717CC"/>
    <w:rsid w:val="0078713D"/>
    <w:rsid w:val="007B3EA2"/>
    <w:rsid w:val="007C0357"/>
    <w:rsid w:val="007D4D1C"/>
    <w:rsid w:val="007F3828"/>
    <w:rsid w:val="007F629E"/>
    <w:rsid w:val="00802D62"/>
    <w:rsid w:val="00811C9A"/>
    <w:rsid w:val="00832316"/>
    <w:rsid w:val="00856E7E"/>
    <w:rsid w:val="0085704F"/>
    <w:rsid w:val="00883283"/>
    <w:rsid w:val="00887074"/>
    <w:rsid w:val="008A3042"/>
    <w:rsid w:val="008B6DF7"/>
    <w:rsid w:val="008D2594"/>
    <w:rsid w:val="008E28A7"/>
    <w:rsid w:val="008F0DEE"/>
    <w:rsid w:val="008F58F4"/>
    <w:rsid w:val="008F7A59"/>
    <w:rsid w:val="00913CEF"/>
    <w:rsid w:val="00921050"/>
    <w:rsid w:val="00953A91"/>
    <w:rsid w:val="009601C0"/>
    <w:rsid w:val="009A3EBA"/>
    <w:rsid w:val="009B55D0"/>
    <w:rsid w:val="009C0857"/>
    <w:rsid w:val="009D138A"/>
    <w:rsid w:val="009E3575"/>
    <w:rsid w:val="009F320D"/>
    <w:rsid w:val="00A16750"/>
    <w:rsid w:val="00A20355"/>
    <w:rsid w:val="00A209AA"/>
    <w:rsid w:val="00A45CBA"/>
    <w:rsid w:val="00A51EBE"/>
    <w:rsid w:val="00A61C99"/>
    <w:rsid w:val="00A73D73"/>
    <w:rsid w:val="00A85C40"/>
    <w:rsid w:val="00AA035E"/>
    <w:rsid w:val="00AA0D46"/>
    <w:rsid w:val="00AA2ABD"/>
    <w:rsid w:val="00AB1EEF"/>
    <w:rsid w:val="00AC3D86"/>
    <w:rsid w:val="00AC4CDC"/>
    <w:rsid w:val="00AD46E0"/>
    <w:rsid w:val="00AF1C1F"/>
    <w:rsid w:val="00B07A08"/>
    <w:rsid w:val="00B226FD"/>
    <w:rsid w:val="00B4576B"/>
    <w:rsid w:val="00B61CD8"/>
    <w:rsid w:val="00BA1ABD"/>
    <w:rsid w:val="00BF38D8"/>
    <w:rsid w:val="00BF762D"/>
    <w:rsid w:val="00C255B5"/>
    <w:rsid w:val="00C558D1"/>
    <w:rsid w:val="00C64CA8"/>
    <w:rsid w:val="00C664DD"/>
    <w:rsid w:val="00C72265"/>
    <w:rsid w:val="00C826AE"/>
    <w:rsid w:val="00C86C41"/>
    <w:rsid w:val="00C92D6A"/>
    <w:rsid w:val="00CB0AA3"/>
    <w:rsid w:val="00CC226B"/>
    <w:rsid w:val="00CE6866"/>
    <w:rsid w:val="00CE7D24"/>
    <w:rsid w:val="00D11587"/>
    <w:rsid w:val="00D22119"/>
    <w:rsid w:val="00D23F41"/>
    <w:rsid w:val="00D2421C"/>
    <w:rsid w:val="00D5579C"/>
    <w:rsid w:val="00D62B8A"/>
    <w:rsid w:val="00D630C0"/>
    <w:rsid w:val="00D755C0"/>
    <w:rsid w:val="00D94AE2"/>
    <w:rsid w:val="00DC3830"/>
    <w:rsid w:val="00DC3CA3"/>
    <w:rsid w:val="00DD27B6"/>
    <w:rsid w:val="00DE09DE"/>
    <w:rsid w:val="00E11EF5"/>
    <w:rsid w:val="00E5216D"/>
    <w:rsid w:val="00E77615"/>
    <w:rsid w:val="00E912D8"/>
    <w:rsid w:val="00EA7BB0"/>
    <w:rsid w:val="00EB2132"/>
    <w:rsid w:val="00EF0929"/>
    <w:rsid w:val="00EF6B49"/>
    <w:rsid w:val="00F06130"/>
    <w:rsid w:val="00F22DEE"/>
    <w:rsid w:val="00F25740"/>
    <w:rsid w:val="00F27135"/>
    <w:rsid w:val="00F335B1"/>
    <w:rsid w:val="00F401DF"/>
    <w:rsid w:val="00F55EE2"/>
    <w:rsid w:val="00F57AD0"/>
    <w:rsid w:val="00F60580"/>
    <w:rsid w:val="00F61F58"/>
    <w:rsid w:val="00F643F7"/>
    <w:rsid w:val="00F70148"/>
    <w:rsid w:val="00F75A9A"/>
    <w:rsid w:val="00F80293"/>
    <w:rsid w:val="00F8580A"/>
    <w:rsid w:val="00F937C1"/>
    <w:rsid w:val="00F971CA"/>
    <w:rsid w:val="00FA0A0D"/>
    <w:rsid w:val="00FB5DC9"/>
    <w:rsid w:val="00FD345C"/>
    <w:rsid w:val="00FE1CF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D310F49"/>
  <w15:docId w15:val="{61B00321-1B81-4CD6-A27C-1E998417B0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locked="1" w:semiHidden="1" w:unhideWhenUsed="1"/>
    <w:lsdException w:name="footer" w:locked="1"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locked="1" w:semiHidden="1" w:unhideWhenUsed="1"/>
    <w:lsdException w:name="Body Text Indent 3" w:locked="1"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67" w:unhideWhenUsed="1"/>
    <w:lsdException w:name="No Spacing" w:semiHidden="1" w:uiPriority="68" w:unhideWhenUsed="1"/>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unhideWhenUsed="1"/>
    <w:lsdException w:name="List Paragraph" w:semiHidden="1" w:uiPriority="72" w:unhideWhenUsed="1"/>
    <w:lsdException w:name="Quote" w:semiHidden="1" w:uiPriority="73" w:unhideWhenUsed="1"/>
    <w:lsdException w:name="Intense Quote" w:semiHidden="1" w:uiPriority="60" w:unhideWhenUsed="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41"/>
    <w:lsdException w:name="Colorful Grid Accent 6" w:uiPriority="42"/>
    <w:lsdException w:name="Subtle Emphasis" w:uiPriority="43"/>
    <w:lsdException w:name="Intense Emphasis" w:uiPriority="44"/>
    <w:lsdException w:name="Subtle Reference" w:uiPriority="45"/>
    <w:lsdException w:name="Intense Reference" w:uiPriority="40"/>
    <w:lsdException w:name="Book Title" w:uiPriority="46"/>
    <w:lsdException w:name="Bibliography" w:semiHidden="1" w:uiPriority="47" w:unhideWhenUsed="1"/>
    <w:lsdException w:name="TOC Heading" w:semiHidden="1" w:uiPriority="48"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717CC"/>
    <w:rPr>
      <w:rFonts w:ascii="Arial" w:hAnsi="Arial"/>
      <w:sz w:val="22"/>
    </w:rPr>
  </w:style>
  <w:style w:type="paragraph" w:styleId="Heading1">
    <w:name w:val="heading 1"/>
    <w:basedOn w:val="ListParagraph"/>
    <w:next w:val="Normal"/>
    <w:link w:val="Heading1Char"/>
    <w:qFormat/>
    <w:rsid w:val="00AD46E0"/>
    <w:pPr>
      <w:numPr>
        <w:numId w:val="16"/>
      </w:numPr>
      <w:spacing w:after="160"/>
      <w:ind w:left="180"/>
      <w:contextualSpacing w:val="0"/>
      <w:outlineLvl w:val="0"/>
    </w:pPr>
    <w:rPr>
      <w:b/>
      <w:bCs/>
      <w:sz w:val="28"/>
      <w:szCs w:val="28"/>
    </w:rPr>
  </w:style>
  <w:style w:type="paragraph" w:styleId="Heading2">
    <w:name w:val="heading 2"/>
    <w:basedOn w:val="Normal"/>
    <w:next w:val="Normal"/>
    <w:link w:val="Heading2Char"/>
    <w:qFormat/>
    <w:rsid w:val="004C661C"/>
    <w:pPr>
      <w:keepNext/>
      <w:ind w:left="1080"/>
      <w:outlineLvl w:val="1"/>
    </w:pPr>
    <w:rPr>
      <w:b/>
      <w:bCs/>
      <w:i/>
      <w:iCs/>
      <w:u w:val="single"/>
    </w:rPr>
  </w:style>
  <w:style w:type="paragraph" w:styleId="Heading4">
    <w:name w:val="heading 4"/>
    <w:basedOn w:val="Normal"/>
    <w:next w:val="Normal"/>
    <w:link w:val="Heading4Char"/>
    <w:semiHidden/>
    <w:unhideWhenUsed/>
    <w:qFormat/>
    <w:locked/>
    <w:rsid w:val="00F335B1"/>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sid w:val="00AD46E0"/>
    <w:rPr>
      <w:rFonts w:ascii="Arial" w:hAnsi="Arial"/>
      <w:b/>
      <w:bCs/>
      <w:sz w:val="28"/>
      <w:szCs w:val="28"/>
    </w:rPr>
  </w:style>
  <w:style w:type="character" w:customStyle="1" w:styleId="Heading2Char">
    <w:name w:val="Heading 2 Char"/>
    <w:link w:val="Heading2"/>
    <w:locked/>
    <w:rsid w:val="004C661C"/>
    <w:rPr>
      <w:rFonts w:ascii="Arial" w:hAnsi="Arial" w:cs="Times New Roman"/>
      <w:b/>
      <w:bCs/>
      <w:i/>
      <w:iCs/>
      <w:sz w:val="20"/>
      <w:szCs w:val="20"/>
      <w:u w:val="single"/>
    </w:rPr>
  </w:style>
  <w:style w:type="paragraph" w:styleId="Header">
    <w:name w:val="header"/>
    <w:basedOn w:val="Normal"/>
    <w:link w:val="HeaderChar"/>
    <w:rsid w:val="004C661C"/>
    <w:pPr>
      <w:tabs>
        <w:tab w:val="center" w:pos="4320"/>
        <w:tab w:val="right" w:pos="8640"/>
      </w:tabs>
    </w:pPr>
  </w:style>
  <w:style w:type="character" w:customStyle="1" w:styleId="HeaderChar">
    <w:name w:val="Header Char"/>
    <w:link w:val="Header"/>
    <w:locked/>
    <w:rsid w:val="004C661C"/>
    <w:rPr>
      <w:rFonts w:ascii="Arial" w:hAnsi="Arial" w:cs="Times New Roman"/>
      <w:sz w:val="20"/>
      <w:szCs w:val="20"/>
    </w:rPr>
  </w:style>
  <w:style w:type="paragraph" w:styleId="Footer">
    <w:name w:val="footer"/>
    <w:basedOn w:val="Normal"/>
    <w:link w:val="FooterChar"/>
    <w:rsid w:val="004C661C"/>
    <w:pPr>
      <w:tabs>
        <w:tab w:val="center" w:pos="4320"/>
        <w:tab w:val="right" w:pos="8640"/>
      </w:tabs>
    </w:pPr>
  </w:style>
  <w:style w:type="character" w:customStyle="1" w:styleId="FooterChar">
    <w:name w:val="Footer Char"/>
    <w:link w:val="Footer"/>
    <w:locked/>
    <w:rsid w:val="004C661C"/>
    <w:rPr>
      <w:rFonts w:ascii="Arial" w:hAnsi="Arial" w:cs="Times New Roman"/>
      <w:sz w:val="20"/>
      <w:szCs w:val="20"/>
    </w:rPr>
  </w:style>
  <w:style w:type="paragraph" w:styleId="BodyTextIndent2">
    <w:name w:val="Body Text Indent 2"/>
    <w:basedOn w:val="Normal"/>
    <w:link w:val="BodyTextIndent2Char"/>
    <w:rsid w:val="004C661C"/>
    <w:pPr>
      <w:tabs>
        <w:tab w:val="left" w:pos="1080"/>
      </w:tabs>
      <w:ind w:left="1080"/>
    </w:pPr>
  </w:style>
  <w:style w:type="character" w:customStyle="1" w:styleId="BodyTextIndent2Char">
    <w:name w:val="Body Text Indent 2 Char"/>
    <w:link w:val="BodyTextIndent2"/>
    <w:locked/>
    <w:rsid w:val="004C661C"/>
    <w:rPr>
      <w:rFonts w:ascii="Arial" w:hAnsi="Arial" w:cs="Times New Roman"/>
      <w:sz w:val="20"/>
      <w:szCs w:val="20"/>
    </w:rPr>
  </w:style>
  <w:style w:type="paragraph" w:styleId="BodyTextIndent3">
    <w:name w:val="Body Text Indent 3"/>
    <w:basedOn w:val="Normal"/>
    <w:link w:val="BodyTextIndent3Char"/>
    <w:rsid w:val="004C661C"/>
    <w:pPr>
      <w:ind w:left="1620" w:hanging="900"/>
      <w:jc w:val="both"/>
    </w:pPr>
  </w:style>
  <w:style w:type="character" w:customStyle="1" w:styleId="BodyTextIndent3Char">
    <w:name w:val="Body Text Indent 3 Char"/>
    <w:link w:val="BodyTextIndent3"/>
    <w:locked/>
    <w:rsid w:val="004C661C"/>
    <w:rPr>
      <w:rFonts w:ascii="Arial" w:hAnsi="Arial" w:cs="Times New Roman"/>
      <w:sz w:val="20"/>
      <w:szCs w:val="20"/>
    </w:rPr>
  </w:style>
  <w:style w:type="paragraph" w:styleId="Title">
    <w:name w:val="Title"/>
    <w:basedOn w:val="Normal"/>
    <w:link w:val="TitleChar"/>
    <w:qFormat/>
    <w:rsid w:val="004C661C"/>
    <w:pPr>
      <w:tabs>
        <w:tab w:val="left" w:pos="6120"/>
      </w:tabs>
      <w:autoSpaceDE w:val="0"/>
      <w:autoSpaceDN w:val="0"/>
      <w:jc w:val="center"/>
    </w:pPr>
    <w:rPr>
      <w:rFonts w:ascii="MS Sans Serif" w:hAnsi="MS Sans Serif"/>
      <w:b/>
      <w:bCs/>
      <w:sz w:val="28"/>
      <w:szCs w:val="28"/>
    </w:rPr>
  </w:style>
  <w:style w:type="character" w:customStyle="1" w:styleId="TitleChar">
    <w:name w:val="Title Char"/>
    <w:link w:val="Title"/>
    <w:locked/>
    <w:rsid w:val="004C661C"/>
    <w:rPr>
      <w:rFonts w:ascii="MS Sans Serif" w:hAnsi="MS Sans Serif" w:cs="Times New Roman"/>
      <w:b/>
      <w:bCs/>
      <w:sz w:val="28"/>
      <w:szCs w:val="28"/>
    </w:rPr>
  </w:style>
  <w:style w:type="paragraph" w:styleId="ListParagraph">
    <w:name w:val="List Paragraph"/>
    <w:basedOn w:val="Normal"/>
    <w:uiPriority w:val="34"/>
    <w:qFormat/>
    <w:rsid w:val="004C661C"/>
    <w:pPr>
      <w:ind w:left="720"/>
      <w:contextualSpacing/>
    </w:pPr>
  </w:style>
  <w:style w:type="paragraph" w:styleId="BodyText">
    <w:name w:val="Body Text"/>
    <w:basedOn w:val="Normal"/>
    <w:link w:val="BodyTextChar"/>
    <w:semiHidden/>
    <w:rsid w:val="00F55EE2"/>
    <w:pPr>
      <w:spacing w:after="120"/>
    </w:pPr>
  </w:style>
  <w:style w:type="character" w:customStyle="1" w:styleId="BodyTextChar">
    <w:name w:val="Body Text Char"/>
    <w:link w:val="BodyText"/>
    <w:semiHidden/>
    <w:locked/>
    <w:rsid w:val="00F55EE2"/>
    <w:rPr>
      <w:rFonts w:ascii="Arial" w:hAnsi="Arial" w:cs="Times New Roman"/>
      <w:sz w:val="20"/>
      <w:szCs w:val="20"/>
    </w:rPr>
  </w:style>
  <w:style w:type="paragraph" w:styleId="BodyText3">
    <w:name w:val="Body Text 3"/>
    <w:basedOn w:val="Normal"/>
    <w:link w:val="BodyText3Char"/>
    <w:semiHidden/>
    <w:rsid w:val="00F55EE2"/>
    <w:pPr>
      <w:spacing w:after="120"/>
    </w:pPr>
    <w:rPr>
      <w:sz w:val="16"/>
      <w:szCs w:val="16"/>
    </w:rPr>
  </w:style>
  <w:style w:type="character" w:customStyle="1" w:styleId="BodyText3Char">
    <w:name w:val="Body Text 3 Char"/>
    <w:link w:val="BodyText3"/>
    <w:semiHidden/>
    <w:locked/>
    <w:rsid w:val="00F55EE2"/>
    <w:rPr>
      <w:rFonts w:ascii="Arial" w:hAnsi="Arial" w:cs="Times New Roman"/>
      <w:sz w:val="16"/>
      <w:szCs w:val="16"/>
    </w:rPr>
  </w:style>
  <w:style w:type="character" w:styleId="FollowedHyperlink">
    <w:name w:val="FollowedHyperlink"/>
    <w:rsid w:val="002B2F6F"/>
    <w:rPr>
      <w:color w:val="0000FF"/>
      <w:u w:val="single"/>
    </w:rPr>
  </w:style>
  <w:style w:type="character" w:styleId="Hyperlink">
    <w:name w:val="Hyperlink"/>
    <w:rsid w:val="00631B0B"/>
    <w:rPr>
      <w:color w:val="0000FF"/>
      <w:u w:val="single"/>
    </w:rPr>
  </w:style>
  <w:style w:type="paragraph" w:styleId="BalloonText">
    <w:name w:val="Balloon Text"/>
    <w:basedOn w:val="Normal"/>
    <w:link w:val="BalloonTextChar"/>
    <w:semiHidden/>
    <w:unhideWhenUsed/>
    <w:rsid w:val="008A3042"/>
    <w:rPr>
      <w:rFonts w:ascii="Segoe UI" w:hAnsi="Segoe UI" w:cs="Segoe UI"/>
      <w:sz w:val="18"/>
      <w:szCs w:val="18"/>
    </w:rPr>
  </w:style>
  <w:style w:type="character" w:customStyle="1" w:styleId="BalloonTextChar">
    <w:name w:val="Balloon Text Char"/>
    <w:basedOn w:val="DefaultParagraphFont"/>
    <w:link w:val="BalloonText"/>
    <w:semiHidden/>
    <w:rsid w:val="008A3042"/>
    <w:rPr>
      <w:rFonts w:ascii="Segoe UI" w:hAnsi="Segoe UI" w:cs="Segoe UI"/>
      <w:sz w:val="18"/>
      <w:szCs w:val="18"/>
    </w:rPr>
  </w:style>
  <w:style w:type="paragraph" w:styleId="ListNumber">
    <w:name w:val="List Number"/>
    <w:basedOn w:val="Normal"/>
    <w:next w:val="ListContinue"/>
    <w:rsid w:val="0015508F"/>
    <w:pPr>
      <w:spacing w:after="120"/>
      <w:ind w:left="720" w:hanging="720"/>
      <w:jc w:val="both"/>
    </w:pPr>
    <w:rPr>
      <w:rFonts w:ascii="Times New Roman" w:eastAsia="Times New Roman" w:hAnsi="Times New Roman"/>
      <w:sz w:val="24"/>
    </w:rPr>
  </w:style>
  <w:style w:type="paragraph" w:styleId="ListContinue">
    <w:name w:val="List Continue"/>
    <w:basedOn w:val="Normal"/>
    <w:semiHidden/>
    <w:unhideWhenUsed/>
    <w:rsid w:val="0015508F"/>
    <w:pPr>
      <w:spacing w:after="120"/>
      <w:ind w:left="360"/>
      <w:contextualSpacing/>
    </w:pPr>
  </w:style>
  <w:style w:type="character" w:styleId="UnresolvedMention">
    <w:name w:val="Unresolved Mention"/>
    <w:basedOn w:val="DefaultParagraphFont"/>
    <w:uiPriority w:val="99"/>
    <w:semiHidden/>
    <w:unhideWhenUsed/>
    <w:rsid w:val="003E359D"/>
    <w:rPr>
      <w:color w:val="605E5C"/>
      <w:shd w:val="clear" w:color="auto" w:fill="E1DFDD"/>
    </w:rPr>
  </w:style>
  <w:style w:type="character" w:customStyle="1" w:styleId="Heading4Char">
    <w:name w:val="Heading 4 Char"/>
    <w:basedOn w:val="DefaultParagraphFont"/>
    <w:link w:val="Heading4"/>
    <w:semiHidden/>
    <w:rsid w:val="00F335B1"/>
    <w:rPr>
      <w:rFonts w:asciiTheme="majorHAnsi" w:eastAsiaTheme="majorEastAsia" w:hAnsiTheme="majorHAnsi" w:cstheme="majorBidi"/>
      <w:i/>
      <w:iCs/>
      <w:color w:val="365F91" w:themeColor="accent1" w:themeShade="BF"/>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292295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opengov.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2151</Words>
  <Characters>11509</Characters>
  <Application>Microsoft Office Word</Application>
  <DocSecurity>0</DocSecurity>
  <Lines>234</Lines>
  <Paragraphs>106</Paragraphs>
  <ScaleCrop>false</ScaleCrop>
  <HeadingPairs>
    <vt:vector size="2" baseType="variant">
      <vt:variant>
        <vt:lpstr>Title</vt:lpstr>
      </vt:variant>
      <vt:variant>
        <vt:i4>1</vt:i4>
      </vt:variant>
    </vt:vector>
  </HeadingPairs>
  <TitlesOfParts>
    <vt:vector size="1" baseType="lpstr">
      <vt:lpstr/>
    </vt:vector>
  </TitlesOfParts>
  <Company>ASA Ohio</Company>
  <LinksUpToDate>false</LinksUpToDate>
  <CharactersWithSpaces>13554</CharactersWithSpaces>
  <SharedDoc>false</SharedDoc>
  <HLinks>
    <vt:vector size="12" baseType="variant">
      <vt:variant>
        <vt:i4>3866655</vt:i4>
      </vt:variant>
      <vt:variant>
        <vt:i4>3</vt:i4>
      </vt:variant>
      <vt:variant>
        <vt:i4>0</vt:i4>
      </vt:variant>
      <vt:variant>
        <vt:i4>5</vt:i4>
      </vt:variant>
      <vt:variant>
        <vt:lpwstr>mailto:dhoward@greaterdaytonRTA.org</vt:lpwstr>
      </vt:variant>
      <vt:variant>
        <vt:lpwstr/>
      </vt:variant>
      <vt:variant>
        <vt:i4>6553667</vt:i4>
      </vt:variant>
      <vt:variant>
        <vt:i4>0</vt:i4>
      </vt:variant>
      <vt:variant>
        <vt:i4>0</vt:i4>
      </vt:variant>
      <vt:variant>
        <vt:i4>5</vt:i4>
      </vt:variant>
      <vt:variant>
        <vt:lpwstr>mailto:rm@asaohio.com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Veronica Pochet</dc:creator>
  <cp:lastModifiedBy>Collier, Michelle</cp:lastModifiedBy>
  <cp:revision>2</cp:revision>
  <cp:lastPrinted>2026-05-13T17:17:00Z</cp:lastPrinted>
  <dcterms:created xsi:type="dcterms:W3CDTF">2026-05-13T17:17:00Z</dcterms:created>
  <dcterms:modified xsi:type="dcterms:W3CDTF">2026-05-13T17:17:00Z</dcterms:modified>
</cp:coreProperties>
</file>